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CE400C" w:rsidRDefault="00CE400C" w:rsidP="00CE400C">
      <w:pPr>
        <w:pStyle w:val="NormalWeb"/>
        <w:spacing w:before="0" w:beforeAutospacing="0" w:after="0" w:afterAutospacing="0"/>
        <w:jc w:val="both"/>
        <w:rPr>
          <w:rFonts w:ascii="Arial" w:hAnsi="Arial" w:cs="Arial"/>
          <w:b/>
          <w:bCs/>
          <w:caps/>
          <w:color w:val="376889"/>
        </w:rPr>
      </w:pPr>
      <w:r w:rsidRPr="00CE400C">
        <w:rPr>
          <w:rFonts w:ascii="Arial" w:hAnsi="Arial" w:cs="Arial"/>
          <w:b/>
          <w:bCs/>
          <w:caps/>
          <w:color w:val="002F5D"/>
        </w:rPr>
        <w:t>LEGISLACION</w:t>
      </w:r>
      <w:r w:rsidRPr="00CE400C">
        <w:rPr>
          <w:rFonts w:ascii="Arial" w:hAnsi="Arial" w:cs="Arial"/>
          <w:b/>
          <w:bCs/>
          <w:caps/>
          <w:color w:val="376889"/>
        </w:rPr>
        <w:t xml:space="preserve"> </w:t>
      </w:r>
    </w:p>
    <w:p w:rsidR="00332D8A" w:rsidRDefault="00332D8A" w:rsidP="00CE400C">
      <w:pPr>
        <w:pStyle w:val="NormalWeb"/>
        <w:spacing w:before="0" w:beforeAutospacing="0" w:after="0" w:afterAutospacing="0"/>
        <w:jc w:val="both"/>
        <w:rPr>
          <w:rFonts w:ascii="Arial" w:hAnsi="Arial" w:cs="Arial"/>
          <w:b/>
          <w:bCs/>
          <w:caps/>
          <w:color w:val="376889"/>
        </w:rPr>
      </w:pPr>
    </w:p>
    <w:p w:rsidR="00332D8A" w:rsidRPr="003B674E" w:rsidRDefault="00332D8A" w:rsidP="00CE400C">
      <w:pPr>
        <w:pStyle w:val="NormalWeb"/>
        <w:spacing w:before="0" w:beforeAutospacing="0" w:after="0" w:afterAutospacing="0"/>
        <w:jc w:val="both"/>
        <w:rPr>
          <w:rFonts w:ascii="Arial" w:hAnsi="Arial" w:cs="Arial"/>
          <w:b/>
          <w:bCs/>
          <w:caps/>
          <w:color w:val="002F5D"/>
        </w:rPr>
      </w:pPr>
      <w:r w:rsidRPr="003B674E">
        <w:rPr>
          <w:rFonts w:ascii="Arial" w:hAnsi="Arial" w:cs="Arial"/>
          <w:b/>
          <w:bCs/>
          <w:caps/>
          <w:color w:val="002F5D"/>
        </w:rPr>
        <w:t>nacionales</w:t>
      </w:r>
    </w:p>
    <w:p w:rsidR="00CE400C" w:rsidRDefault="00CE400C" w:rsidP="00CE400C">
      <w:pPr>
        <w:pStyle w:val="NormalWeb"/>
        <w:spacing w:before="0" w:beforeAutospacing="0" w:after="0" w:afterAutospacing="0"/>
        <w:jc w:val="both"/>
        <w:rPr>
          <w:rFonts w:ascii="Arial" w:hAnsi="Arial" w:cs="Arial"/>
          <w:b/>
          <w:bCs/>
          <w:caps/>
          <w:color w:val="376889"/>
          <w:sz w:val="21"/>
          <w:szCs w:val="21"/>
        </w:rPr>
      </w:pPr>
    </w:p>
    <w:p w:rsidR="00FE1362" w:rsidRPr="00FE1362" w:rsidRDefault="00FE1362" w:rsidP="00FE1362">
      <w:pPr>
        <w:pStyle w:val="NormalWeb"/>
        <w:spacing w:before="0" w:beforeAutospacing="0" w:after="0" w:afterAutospacing="0"/>
        <w:jc w:val="both"/>
        <w:rPr>
          <w:rFonts w:ascii="Arial" w:hAnsi="Arial" w:cs="Arial"/>
          <w:b/>
          <w:bCs/>
          <w:caps/>
          <w:color w:val="002F5D"/>
          <w:sz w:val="21"/>
          <w:szCs w:val="21"/>
        </w:rPr>
      </w:pPr>
      <w:r w:rsidRPr="00FE1362">
        <w:rPr>
          <w:rFonts w:ascii="Arial" w:hAnsi="Arial" w:cs="Arial"/>
          <w:b/>
          <w:bCs/>
          <w:caps/>
          <w:color w:val="002F5D"/>
          <w:sz w:val="21"/>
          <w:szCs w:val="21"/>
        </w:rPr>
        <w:t>Procedimiento. Pautas generales y porcentajes para la estimación administrativa de honorarios profesionales en el marco de las ejecuciones fiscales</w:t>
      </w:r>
      <w:r>
        <w:rPr>
          <w:rFonts w:ascii="Arial" w:hAnsi="Arial" w:cs="Arial"/>
          <w:b/>
          <w:bCs/>
          <w:caps/>
          <w:color w:val="002F5D"/>
          <w:sz w:val="21"/>
          <w:szCs w:val="21"/>
        </w:rPr>
        <w:t xml:space="preserve"> - </w:t>
      </w:r>
      <w:r w:rsidRPr="00FE1362">
        <w:rPr>
          <w:rFonts w:ascii="Arial" w:hAnsi="Arial" w:cs="Arial"/>
          <w:b/>
          <w:bCs/>
          <w:caps/>
          <w:color w:val="002F5D"/>
          <w:sz w:val="21"/>
          <w:szCs w:val="21"/>
        </w:rPr>
        <w:t>Disposición (AFIP) Nº 375/2019</w:t>
      </w:r>
    </w:p>
    <w:p w:rsidR="00332D8A" w:rsidRPr="002D7C89" w:rsidRDefault="00332D8A" w:rsidP="00332D8A">
      <w:pPr>
        <w:pStyle w:val="NormalWeb"/>
        <w:spacing w:before="0" w:beforeAutospacing="0" w:after="0" w:afterAutospacing="0"/>
        <w:jc w:val="both"/>
        <w:rPr>
          <w:rFonts w:ascii="Arial" w:hAnsi="Arial" w:cs="Arial"/>
          <w:b/>
          <w:bCs/>
          <w:caps/>
          <w:color w:val="002F5D"/>
          <w:sz w:val="22"/>
          <w:szCs w:val="22"/>
        </w:rPr>
      </w:pPr>
    </w:p>
    <w:p w:rsidR="00FE1362" w:rsidRPr="00FE1362" w:rsidRDefault="00FE1362" w:rsidP="00FE1362">
      <w:pPr>
        <w:shd w:val="clear" w:color="auto" w:fill="FDE9D9" w:themeFill="accent6" w:themeFillTint="33"/>
        <w:spacing w:line="300" w:lineRule="atLeast"/>
        <w:rPr>
          <w:rFonts w:ascii="Arial" w:eastAsia="Times New Roman" w:hAnsi="Arial" w:cs="Arial"/>
          <w:b/>
          <w:bCs/>
          <w:color w:val="666666"/>
          <w:sz w:val="20"/>
          <w:szCs w:val="20"/>
        </w:rPr>
      </w:pPr>
      <w:r w:rsidRPr="00FE1362">
        <w:rPr>
          <w:rFonts w:ascii="Arial" w:eastAsia="Times New Roman" w:hAnsi="Arial" w:cs="Arial"/>
          <w:b/>
          <w:bCs/>
          <w:color w:val="666666"/>
          <w:sz w:val="20"/>
          <w:szCs w:val="20"/>
        </w:rPr>
        <w:t>Nuevas pautas procedimentales respecto de la estimación administrativa de honorarios de los abogados actuantes en los procesos de ejecuciones fiscales y reducción de los porcentajes previstos para tales honorarios.-</w:t>
      </w:r>
    </w:p>
    <w:p w:rsidR="00FE1362" w:rsidRPr="00FE1362" w:rsidRDefault="00FE1362" w:rsidP="00FE1362">
      <w:pPr>
        <w:shd w:val="clear" w:color="auto" w:fill="FDE9D9" w:themeFill="accent6" w:themeFillTint="33"/>
        <w:spacing w:line="300" w:lineRule="atLeast"/>
        <w:rPr>
          <w:rFonts w:ascii="Arial" w:eastAsia="Times New Roman" w:hAnsi="Arial" w:cs="Arial"/>
          <w:b/>
          <w:bCs/>
          <w:color w:val="666666"/>
          <w:sz w:val="20"/>
          <w:szCs w:val="20"/>
        </w:rPr>
      </w:pPr>
    </w:p>
    <w:p w:rsidR="00FE1362" w:rsidRPr="00FE1362" w:rsidRDefault="00FE1362" w:rsidP="00FE1362">
      <w:pPr>
        <w:shd w:val="clear" w:color="auto" w:fill="FDE9D9" w:themeFill="accent6" w:themeFillTint="33"/>
        <w:spacing w:line="300" w:lineRule="atLeast"/>
        <w:rPr>
          <w:rFonts w:ascii="Arial" w:eastAsia="Times New Roman" w:hAnsi="Arial" w:cs="Arial"/>
          <w:b/>
          <w:bCs/>
          <w:color w:val="666666"/>
          <w:sz w:val="20"/>
          <w:szCs w:val="20"/>
        </w:rPr>
      </w:pPr>
      <w:r w:rsidRPr="00FE1362">
        <w:rPr>
          <w:rFonts w:ascii="Arial" w:eastAsia="Times New Roman" w:hAnsi="Arial" w:cs="Arial"/>
          <w:b/>
          <w:bCs/>
          <w:color w:val="666666"/>
          <w:sz w:val="20"/>
          <w:szCs w:val="20"/>
        </w:rPr>
        <w:tab/>
      </w:r>
      <w:r w:rsidRPr="00FE1362">
        <w:rPr>
          <w:rFonts w:ascii="Arial" w:eastAsia="Times New Roman" w:hAnsi="Arial" w:cs="Arial"/>
          <w:b/>
          <w:bCs/>
          <w:color w:val="666666"/>
          <w:sz w:val="20"/>
          <w:szCs w:val="20"/>
        </w:rPr>
        <w:tab/>
      </w:r>
      <w:r w:rsidRPr="00FE1362">
        <w:rPr>
          <w:rFonts w:ascii="Arial" w:eastAsia="Times New Roman" w:hAnsi="Arial" w:cs="Arial"/>
          <w:b/>
          <w:bCs/>
          <w:color w:val="666666"/>
          <w:sz w:val="20"/>
          <w:szCs w:val="20"/>
        </w:rPr>
        <w:tab/>
      </w:r>
      <w:r w:rsidRPr="00FE1362">
        <w:rPr>
          <w:rFonts w:ascii="Arial" w:eastAsia="Times New Roman" w:hAnsi="Arial" w:cs="Arial"/>
          <w:b/>
          <w:bCs/>
          <w:color w:val="666666"/>
          <w:sz w:val="20"/>
          <w:szCs w:val="20"/>
        </w:rPr>
        <w:tab/>
      </w:r>
      <w:r w:rsidRPr="00FE1362">
        <w:rPr>
          <w:rFonts w:ascii="Arial" w:eastAsia="Times New Roman" w:hAnsi="Arial" w:cs="Arial"/>
          <w:b/>
          <w:bCs/>
          <w:color w:val="666666"/>
          <w:sz w:val="20"/>
          <w:szCs w:val="20"/>
        </w:rPr>
        <w:tab/>
        <w:t xml:space="preserve">SITUACION ACTUAL </w:t>
      </w:r>
      <w:r w:rsidRPr="00FE1362">
        <w:rPr>
          <w:rFonts w:ascii="Arial" w:eastAsia="Times New Roman" w:hAnsi="Arial" w:cs="Arial"/>
          <w:b/>
          <w:bCs/>
          <w:color w:val="666666"/>
          <w:sz w:val="20"/>
          <w:szCs w:val="20"/>
        </w:rPr>
        <w:tab/>
      </w:r>
      <w:r w:rsidRPr="00FE1362">
        <w:rPr>
          <w:rFonts w:ascii="Arial" w:eastAsia="Times New Roman" w:hAnsi="Arial" w:cs="Arial"/>
          <w:b/>
          <w:bCs/>
          <w:color w:val="666666"/>
          <w:sz w:val="20"/>
          <w:szCs w:val="20"/>
        </w:rPr>
        <w:tab/>
        <w:t>MODIFICACION</w:t>
      </w:r>
    </w:p>
    <w:p w:rsidR="00FE1362" w:rsidRPr="00FE1362" w:rsidRDefault="00FE1362" w:rsidP="00FE1362">
      <w:pPr>
        <w:shd w:val="clear" w:color="auto" w:fill="FDE9D9" w:themeFill="accent6" w:themeFillTint="33"/>
        <w:spacing w:line="360" w:lineRule="auto"/>
        <w:rPr>
          <w:rFonts w:ascii="Arial" w:eastAsia="Times New Roman" w:hAnsi="Arial" w:cs="Arial"/>
          <w:b/>
          <w:bCs/>
          <w:color w:val="666666"/>
          <w:sz w:val="20"/>
          <w:szCs w:val="20"/>
        </w:rPr>
      </w:pPr>
      <w:r w:rsidRPr="00FE1362">
        <w:rPr>
          <w:rFonts w:ascii="Arial" w:eastAsia="Times New Roman" w:hAnsi="Arial" w:cs="Arial"/>
          <w:b/>
          <w:bCs/>
          <w:color w:val="666666"/>
          <w:sz w:val="20"/>
          <w:szCs w:val="20"/>
        </w:rPr>
        <w:t>Previo  a  la sentencia</w:t>
      </w:r>
    </w:p>
    <w:p w:rsidR="00FE1362" w:rsidRPr="00FE1362" w:rsidRDefault="00FE1362" w:rsidP="00FE1362">
      <w:pPr>
        <w:shd w:val="clear" w:color="auto" w:fill="FDE9D9" w:themeFill="accent6" w:themeFillTint="33"/>
        <w:spacing w:line="360" w:lineRule="auto"/>
        <w:rPr>
          <w:rFonts w:ascii="Arial" w:eastAsia="Times New Roman" w:hAnsi="Arial" w:cs="Arial"/>
          <w:b/>
          <w:bCs/>
          <w:color w:val="666666"/>
          <w:sz w:val="20"/>
          <w:szCs w:val="20"/>
        </w:rPr>
      </w:pPr>
      <w:r w:rsidRPr="00FE1362">
        <w:rPr>
          <w:rFonts w:ascii="Arial" w:eastAsia="Times New Roman" w:hAnsi="Arial" w:cs="Arial"/>
          <w:b/>
          <w:bCs/>
          <w:color w:val="666666"/>
          <w:sz w:val="20"/>
          <w:szCs w:val="20"/>
        </w:rPr>
        <w:t>Primera etapa</w:t>
      </w:r>
      <w:r w:rsidRPr="00FE1362">
        <w:rPr>
          <w:rFonts w:ascii="Arial" w:eastAsia="Times New Roman" w:hAnsi="Arial" w:cs="Arial"/>
          <w:b/>
          <w:bCs/>
          <w:color w:val="666666"/>
          <w:sz w:val="20"/>
          <w:szCs w:val="20"/>
        </w:rPr>
        <w:tab/>
      </w:r>
      <w:r w:rsidRPr="00FE1362">
        <w:rPr>
          <w:rFonts w:ascii="Arial" w:eastAsia="Times New Roman" w:hAnsi="Arial" w:cs="Arial"/>
          <w:b/>
          <w:bCs/>
          <w:color w:val="666666"/>
          <w:sz w:val="20"/>
          <w:szCs w:val="20"/>
        </w:rPr>
        <w:tab/>
      </w:r>
      <w:r w:rsidRPr="00FE1362">
        <w:rPr>
          <w:rFonts w:ascii="Arial" w:eastAsia="Times New Roman" w:hAnsi="Arial" w:cs="Arial"/>
          <w:b/>
          <w:bCs/>
          <w:color w:val="666666"/>
          <w:sz w:val="20"/>
          <w:szCs w:val="20"/>
        </w:rPr>
        <w:tab/>
      </w:r>
      <w:r w:rsidRPr="00FE1362">
        <w:rPr>
          <w:rFonts w:ascii="Arial" w:eastAsia="Times New Roman" w:hAnsi="Arial" w:cs="Arial"/>
          <w:b/>
          <w:bCs/>
          <w:color w:val="666666"/>
          <w:sz w:val="20"/>
          <w:szCs w:val="20"/>
        </w:rPr>
        <w:tab/>
      </w:r>
      <w:r w:rsidRPr="00FE1362">
        <w:rPr>
          <w:rFonts w:ascii="Arial" w:eastAsia="Times New Roman" w:hAnsi="Arial" w:cs="Arial"/>
          <w:b/>
          <w:bCs/>
          <w:color w:val="666666"/>
          <w:sz w:val="20"/>
          <w:szCs w:val="20"/>
        </w:rPr>
        <w:tab/>
        <w:t>5</w:t>
      </w:r>
      <w:r>
        <w:rPr>
          <w:rFonts w:ascii="Arial" w:eastAsia="Times New Roman" w:hAnsi="Arial" w:cs="Arial"/>
          <w:b/>
          <w:bCs/>
          <w:color w:val="666666"/>
          <w:sz w:val="20"/>
          <w:szCs w:val="20"/>
        </w:rPr>
        <w:t>.00</w:t>
      </w:r>
      <w:r w:rsidRPr="00FE1362">
        <w:rPr>
          <w:rFonts w:ascii="Arial" w:eastAsia="Times New Roman" w:hAnsi="Arial" w:cs="Arial"/>
          <w:b/>
          <w:bCs/>
          <w:color w:val="666666"/>
          <w:sz w:val="20"/>
          <w:szCs w:val="20"/>
        </w:rPr>
        <w:t>%</w:t>
      </w:r>
      <w:r w:rsidRPr="00FE1362">
        <w:rPr>
          <w:rFonts w:ascii="Arial" w:eastAsia="Times New Roman" w:hAnsi="Arial" w:cs="Arial"/>
          <w:b/>
          <w:bCs/>
          <w:color w:val="666666"/>
          <w:sz w:val="20"/>
          <w:szCs w:val="20"/>
        </w:rPr>
        <w:tab/>
      </w:r>
      <w:r w:rsidRPr="00FE1362">
        <w:rPr>
          <w:rFonts w:ascii="Arial" w:eastAsia="Times New Roman" w:hAnsi="Arial" w:cs="Arial"/>
          <w:b/>
          <w:bCs/>
          <w:color w:val="666666"/>
          <w:sz w:val="20"/>
          <w:szCs w:val="20"/>
        </w:rPr>
        <w:tab/>
      </w:r>
      <w:r w:rsidRPr="00FE1362">
        <w:rPr>
          <w:rFonts w:ascii="Arial" w:eastAsia="Times New Roman" w:hAnsi="Arial" w:cs="Arial"/>
          <w:b/>
          <w:bCs/>
          <w:color w:val="666666"/>
          <w:sz w:val="20"/>
          <w:szCs w:val="20"/>
        </w:rPr>
        <w:tab/>
      </w:r>
      <w:r w:rsidRPr="00FE1362">
        <w:rPr>
          <w:rFonts w:ascii="Arial" w:eastAsia="Times New Roman" w:hAnsi="Arial" w:cs="Arial"/>
          <w:b/>
          <w:bCs/>
          <w:color w:val="666666"/>
          <w:sz w:val="20"/>
          <w:szCs w:val="20"/>
        </w:rPr>
        <w:tab/>
        <w:t>4</w:t>
      </w:r>
      <w:r>
        <w:rPr>
          <w:rFonts w:ascii="Arial" w:eastAsia="Times New Roman" w:hAnsi="Arial" w:cs="Arial"/>
          <w:b/>
          <w:bCs/>
          <w:color w:val="666666"/>
          <w:sz w:val="20"/>
          <w:szCs w:val="20"/>
        </w:rPr>
        <w:t>,00</w:t>
      </w:r>
      <w:r w:rsidRPr="00FE1362">
        <w:rPr>
          <w:rFonts w:ascii="Arial" w:eastAsia="Times New Roman" w:hAnsi="Arial" w:cs="Arial"/>
          <w:b/>
          <w:bCs/>
          <w:color w:val="666666"/>
          <w:sz w:val="20"/>
          <w:szCs w:val="20"/>
        </w:rPr>
        <w:t>%</w:t>
      </w:r>
    </w:p>
    <w:p w:rsidR="00FE1362" w:rsidRPr="00FE1362" w:rsidRDefault="00FE1362" w:rsidP="00FE1362">
      <w:pPr>
        <w:shd w:val="clear" w:color="auto" w:fill="FDE9D9" w:themeFill="accent6" w:themeFillTint="33"/>
        <w:spacing w:line="360" w:lineRule="auto"/>
        <w:rPr>
          <w:rFonts w:ascii="Arial" w:eastAsia="Times New Roman" w:hAnsi="Arial" w:cs="Arial"/>
          <w:b/>
          <w:bCs/>
          <w:color w:val="666666"/>
          <w:sz w:val="20"/>
          <w:szCs w:val="20"/>
        </w:rPr>
      </w:pPr>
      <w:r w:rsidRPr="00FE1362">
        <w:rPr>
          <w:rFonts w:ascii="Arial" w:eastAsia="Times New Roman" w:hAnsi="Arial" w:cs="Arial"/>
          <w:b/>
          <w:bCs/>
          <w:color w:val="666666"/>
          <w:sz w:val="20"/>
          <w:szCs w:val="20"/>
        </w:rPr>
        <w:t>Primer etapa con excepciones</w:t>
      </w:r>
      <w:r w:rsidRPr="00FE1362">
        <w:rPr>
          <w:rFonts w:ascii="Arial" w:eastAsia="Times New Roman" w:hAnsi="Arial" w:cs="Arial"/>
          <w:b/>
          <w:bCs/>
          <w:color w:val="666666"/>
          <w:sz w:val="20"/>
          <w:szCs w:val="20"/>
        </w:rPr>
        <w:tab/>
      </w:r>
      <w:r w:rsidRPr="00FE1362">
        <w:rPr>
          <w:rFonts w:ascii="Arial" w:eastAsia="Times New Roman" w:hAnsi="Arial" w:cs="Arial"/>
          <w:b/>
          <w:bCs/>
          <w:color w:val="666666"/>
          <w:sz w:val="20"/>
          <w:szCs w:val="20"/>
        </w:rPr>
        <w:tab/>
        <w:t>6.43%</w:t>
      </w:r>
      <w:r w:rsidRPr="00FE1362">
        <w:rPr>
          <w:rFonts w:ascii="Arial" w:eastAsia="Times New Roman" w:hAnsi="Arial" w:cs="Arial"/>
          <w:b/>
          <w:bCs/>
          <w:color w:val="666666"/>
          <w:sz w:val="20"/>
          <w:szCs w:val="20"/>
        </w:rPr>
        <w:tab/>
      </w:r>
      <w:r w:rsidRPr="00FE1362">
        <w:rPr>
          <w:rFonts w:ascii="Arial" w:eastAsia="Times New Roman" w:hAnsi="Arial" w:cs="Arial"/>
          <w:b/>
          <w:bCs/>
          <w:color w:val="666666"/>
          <w:sz w:val="20"/>
          <w:szCs w:val="20"/>
        </w:rPr>
        <w:tab/>
      </w:r>
      <w:r w:rsidRPr="00FE1362">
        <w:rPr>
          <w:rFonts w:ascii="Arial" w:eastAsia="Times New Roman" w:hAnsi="Arial" w:cs="Arial"/>
          <w:b/>
          <w:bCs/>
          <w:color w:val="666666"/>
          <w:sz w:val="20"/>
          <w:szCs w:val="20"/>
        </w:rPr>
        <w:tab/>
      </w:r>
      <w:r w:rsidRPr="00FE1362">
        <w:rPr>
          <w:rFonts w:ascii="Arial" w:eastAsia="Times New Roman" w:hAnsi="Arial" w:cs="Arial"/>
          <w:b/>
          <w:bCs/>
          <w:color w:val="666666"/>
          <w:sz w:val="20"/>
          <w:szCs w:val="20"/>
        </w:rPr>
        <w:tab/>
        <w:t>5,2</w:t>
      </w:r>
      <w:r>
        <w:rPr>
          <w:rFonts w:ascii="Arial" w:eastAsia="Times New Roman" w:hAnsi="Arial" w:cs="Arial"/>
          <w:b/>
          <w:bCs/>
          <w:color w:val="666666"/>
          <w:sz w:val="20"/>
          <w:szCs w:val="20"/>
        </w:rPr>
        <w:t>0</w:t>
      </w:r>
      <w:r w:rsidRPr="00FE1362">
        <w:rPr>
          <w:rFonts w:ascii="Arial" w:eastAsia="Times New Roman" w:hAnsi="Arial" w:cs="Arial"/>
          <w:b/>
          <w:bCs/>
          <w:color w:val="666666"/>
          <w:sz w:val="20"/>
          <w:szCs w:val="20"/>
        </w:rPr>
        <w:t>%</w:t>
      </w:r>
    </w:p>
    <w:p w:rsidR="00FE1362" w:rsidRPr="00FE1362" w:rsidRDefault="00FE1362" w:rsidP="00FE1362">
      <w:pPr>
        <w:shd w:val="clear" w:color="auto" w:fill="FDE9D9" w:themeFill="accent6" w:themeFillTint="33"/>
        <w:spacing w:line="360" w:lineRule="auto"/>
        <w:rPr>
          <w:rFonts w:ascii="Arial" w:eastAsia="Times New Roman" w:hAnsi="Arial" w:cs="Arial"/>
          <w:b/>
          <w:bCs/>
          <w:color w:val="666666"/>
          <w:sz w:val="20"/>
          <w:szCs w:val="20"/>
        </w:rPr>
      </w:pPr>
      <w:r w:rsidRPr="00FE1362">
        <w:rPr>
          <w:rFonts w:ascii="Arial" w:eastAsia="Times New Roman" w:hAnsi="Arial" w:cs="Arial"/>
          <w:b/>
          <w:bCs/>
          <w:color w:val="666666"/>
          <w:sz w:val="20"/>
          <w:szCs w:val="20"/>
        </w:rPr>
        <w:t>Posterior a la sentencia</w:t>
      </w:r>
    </w:p>
    <w:p w:rsidR="00FE1362" w:rsidRPr="00FE1362" w:rsidRDefault="00FE1362" w:rsidP="00FE1362">
      <w:pPr>
        <w:shd w:val="clear" w:color="auto" w:fill="FDE9D9" w:themeFill="accent6" w:themeFillTint="33"/>
        <w:spacing w:line="360" w:lineRule="auto"/>
        <w:rPr>
          <w:rFonts w:ascii="Arial" w:eastAsia="Times New Roman" w:hAnsi="Arial" w:cs="Arial"/>
          <w:b/>
          <w:bCs/>
          <w:color w:val="666666"/>
          <w:sz w:val="20"/>
          <w:szCs w:val="20"/>
        </w:rPr>
      </w:pPr>
      <w:r w:rsidRPr="00FE1362">
        <w:rPr>
          <w:rFonts w:ascii="Arial" w:eastAsia="Times New Roman" w:hAnsi="Arial" w:cs="Arial"/>
          <w:b/>
          <w:bCs/>
          <w:color w:val="666666"/>
          <w:sz w:val="20"/>
          <w:szCs w:val="20"/>
        </w:rPr>
        <w:t xml:space="preserve">Segunda etapa </w:t>
      </w:r>
      <w:r w:rsidRPr="00FE1362">
        <w:rPr>
          <w:rFonts w:ascii="Arial" w:eastAsia="Times New Roman" w:hAnsi="Arial" w:cs="Arial"/>
          <w:b/>
          <w:bCs/>
          <w:color w:val="666666"/>
          <w:sz w:val="20"/>
          <w:szCs w:val="20"/>
        </w:rPr>
        <w:tab/>
      </w:r>
      <w:r w:rsidRPr="00FE1362">
        <w:rPr>
          <w:rFonts w:ascii="Arial" w:eastAsia="Times New Roman" w:hAnsi="Arial" w:cs="Arial"/>
          <w:b/>
          <w:bCs/>
          <w:color w:val="666666"/>
          <w:sz w:val="20"/>
          <w:szCs w:val="20"/>
        </w:rPr>
        <w:tab/>
      </w:r>
      <w:r w:rsidRPr="00FE1362">
        <w:rPr>
          <w:rFonts w:ascii="Arial" w:eastAsia="Times New Roman" w:hAnsi="Arial" w:cs="Arial"/>
          <w:b/>
          <w:bCs/>
          <w:color w:val="666666"/>
          <w:sz w:val="20"/>
          <w:szCs w:val="20"/>
        </w:rPr>
        <w:tab/>
      </w:r>
      <w:r w:rsidRPr="00FE1362">
        <w:rPr>
          <w:rFonts w:ascii="Arial" w:eastAsia="Times New Roman" w:hAnsi="Arial" w:cs="Arial"/>
          <w:b/>
          <w:bCs/>
          <w:color w:val="666666"/>
          <w:sz w:val="20"/>
          <w:szCs w:val="20"/>
        </w:rPr>
        <w:tab/>
        <w:t>10</w:t>
      </w:r>
      <w:r>
        <w:rPr>
          <w:rFonts w:ascii="Arial" w:eastAsia="Times New Roman" w:hAnsi="Arial" w:cs="Arial"/>
          <w:b/>
          <w:bCs/>
          <w:color w:val="666666"/>
          <w:sz w:val="20"/>
          <w:szCs w:val="20"/>
        </w:rPr>
        <w:t>,00</w:t>
      </w:r>
      <w:r w:rsidRPr="00FE1362">
        <w:rPr>
          <w:rFonts w:ascii="Arial" w:eastAsia="Times New Roman" w:hAnsi="Arial" w:cs="Arial"/>
          <w:b/>
          <w:bCs/>
          <w:color w:val="666666"/>
          <w:sz w:val="20"/>
          <w:szCs w:val="20"/>
        </w:rPr>
        <w:t>%</w:t>
      </w:r>
      <w:r w:rsidRPr="00FE1362">
        <w:rPr>
          <w:rFonts w:ascii="Arial" w:eastAsia="Times New Roman" w:hAnsi="Arial" w:cs="Arial"/>
          <w:b/>
          <w:bCs/>
          <w:color w:val="666666"/>
          <w:sz w:val="20"/>
          <w:szCs w:val="20"/>
        </w:rPr>
        <w:tab/>
      </w:r>
      <w:r w:rsidRPr="00FE1362">
        <w:rPr>
          <w:rFonts w:ascii="Arial" w:eastAsia="Times New Roman" w:hAnsi="Arial" w:cs="Arial"/>
          <w:b/>
          <w:bCs/>
          <w:color w:val="666666"/>
          <w:sz w:val="20"/>
          <w:szCs w:val="20"/>
        </w:rPr>
        <w:tab/>
      </w:r>
      <w:r w:rsidRPr="00FE1362">
        <w:rPr>
          <w:rFonts w:ascii="Arial" w:eastAsia="Times New Roman" w:hAnsi="Arial" w:cs="Arial"/>
          <w:b/>
          <w:bCs/>
          <w:color w:val="666666"/>
          <w:sz w:val="20"/>
          <w:szCs w:val="20"/>
        </w:rPr>
        <w:tab/>
      </w:r>
      <w:r w:rsidRPr="00FE1362">
        <w:rPr>
          <w:rFonts w:ascii="Arial" w:eastAsia="Times New Roman" w:hAnsi="Arial" w:cs="Arial"/>
          <w:b/>
          <w:bCs/>
          <w:color w:val="666666"/>
          <w:sz w:val="20"/>
          <w:szCs w:val="20"/>
        </w:rPr>
        <w:tab/>
        <w:t>8</w:t>
      </w:r>
      <w:r>
        <w:rPr>
          <w:rFonts w:ascii="Arial" w:eastAsia="Times New Roman" w:hAnsi="Arial" w:cs="Arial"/>
          <w:b/>
          <w:bCs/>
          <w:color w:val="666666"/>
          <w:sz w:val="20"/>
          <w:szCs w:val="20"/>
        </w:rPr>
        <w:t>,00</w:t>
      </w:r>
      <w:r w:rsidRPr="00FE1362">
        <w:rPr>
          <w:rFonts w:ascii="Arial" w:eastAsia="Times New Roman" w:hAnsi="Arial" w:cs="Arial"/>
          <w:b/>
          <w:bCs/>
          <w:color w:val="666666"/>
          <w:sz w:val="20"/>
          <w:szCs w:val="20"/>
        </w:rPr>
        <w:t>%</w:t>
      </w:r>
    </w:p>
    <w:p w:rsidR="00FE1362" w:rsidRDefault="00FE1362" w:rsidP="00FE1362">
      <w:pPr>
        <w:pStyle w:val="NormalWeb"/>
        <w:spacing w:before="0" w:beforeAutospacing="0" w:after="0" w:afterAutospacing="0"/>
        <w:jc w:val="both"/>
        <w:rPr>
          <w:rFonts w:ascii="Arial" w:hAnsi="Arial" w:cs="Arial"/>
          <w:b/>
          <w:bCs/>
          <w:caps/>
          <w:color w:val="376889"/>
          <w:sz w:val="21"/>
          <w:szCs w:val="21"/>
        </w:rPr>
      </w:pPr>
      <w:r w:rsidRPr="00FE1362">
        <w:rPr>
          <w:rFonts w:ascii="Arial" w:eastAsia="Times New Roman" w:hAnsi="Arial" w:cs="Arial"/>
          <w:b/>
          <w:bCs/>
          <w:color w:val="666666"/>
          <w:sz w:val="20"/>
          <w:szCs w:val="20"/>
        </w:rPr>
        <w:t>Segunda etapa con excepciones </w:t>
      </w:r>
      <w:r w:rsidRPr="00FE1362">
        <w:rPr>
          <w:rFonts w:ascii="Arial" w:eastAsia="Times New Roman" w:hAnsi="Arial" w:cs="Arial"/>
          <w:b/>
          <w:bCs/>
          <w:color w:val="666666"/>
          <w:sz w:val="20"/>
          <w:szCs w:val="20"/>
        </w:rPr>
        <w:tab/>
      </w:r>
      <w:r>
        <w:rPr>
          <w:rFonts w:ascii="Arial" w:eastAsia="Times New Roman" w:hAnsi="Arial" w:cs="Arial"/>
          <w:b/>
          <w:bCs/>
          <w:color w:val="666666"/>
          <w:sz w:val="20"/>
          <w:szCs w:val="20"/>
        </w:rPr>
        <w:t xml:space="preserve">           </w:t>
      </w:r>
      <w:r w:rsidRPr="00FE1362">
        <w:rPr>
          <w:rFonts w:ascii="Arial" w:eastAsia="Times New Roman" w:hAnsi="Arial" w:cs="Arial"/>
          <w:b/>
          <w:bCs/>
          <w:color w:val="666666"/>
          <w:sz w:val="20"/>
          <w:szCs w:val="20"/>
        </w:rPr>
        <w:t>12,86%</w:t>
      </w:r>
      <w:r w:rsidRPr="00FE1362">
        <w:rPr>
          <w:rFonts w:ascii="Arial" w:eastAsia="Times New Roman" w:hAnsi="Arial" w:cs="Arial"/>
          <w:b/>
          <w:bCs/>
          <w:color w:val="666666"/>
          <w:sz w:val="20"/>
          <w:szCs w:val="20"/>
        </w:rPr>
        <w:tab/>
      </w:r>
      <w:r>
        <w:rPr>
          <w:rFonts w:ascii="Fira Sans" w:eastAsia="Calibri" w:hAnsi="Fira Sans"/>
          <w:color w:val="333333"/>
          <w:sz w:val="21"/>
          <w:szCs w:val="21"/>
        </w:rPr>
        <w:tab/>
      </w:r>
      <w:r>
        <w:rPr>
          <w:rFonts w:ascii="Fira Sans" w:eastAsia="Calibri" w:hAnsi="Fira Sans"/>
          <w:color w:val="333333"/>
          <w:sz w:val="21"/>
          <w:szCs w:val="21"/>
        </w:rPr>
        <w:tab/>
        <w:t xml:space="preserve">          </w:t>
      </w:r>
      <w:r w:rsidRPr="00FE1362">
        <w:rPr>
          <w:rFonts w:ascii="Arial" w:eastAsia="Times New Roman" w:hAnsi="Arial" w:cs="Arial"/>
          <w:b/>
          <w:bCs/>
          <w:color w:val="666666"/>
          <w:sz w:val="20"/>
          <w:szCs w:val="20"/>
        </w:rPr>
        <w:t>10,40%</w:t>
      </w:r>
      <w:r>
        <w:rPr>
          <w:rFonts w:ascii="Fira Sans" w:eastAsia="Calibri" w:hAnsi="Fira Sans"/>
          <w:color w:val="333333"/>
          <w:sz w:val="21"/>
          <w:szCs w:val="21"/>
        </w:rPr>
        <w:br/>
      </w:r>
    </w:p>
    <w:p w:rsidR="00FE1362" w:rsidRPr="00FE1362" w:rsidRDefault="00FE1362" w:rsidP="00FE1362">
      <w:pPr>
        <w:pStyle w:val="NormalWeb"/>
        <w:spacing w:before="0" w:beforeAutospacing="0" w:after="0" w:afterAutospacing="0"/>
        <w:jc w:val="both"/>
        <w:rPr>
          <w:rFonts w:ascii="Arial" w:hAnsi="Arial" w:cs="Arial"/>
          <w:b/>
          <w:bCs/>
          <w:caps/>
          <w:color w:val="002F5D"/>
          <w:sz w:val="21"/>
          <w:szCs w:val="21"/>
        </w:rPr>
      </w:pPr>
      <w:r w:rsidRPr="00FE1362">
        <w:rPr>
          <w:rFonts w:ascii="Arial" w:hAnsi="Arial" w:cs="Arial"/>
          <w:b/>
          <w:bCs/>
          <w:caps/>
          <w:color w:val="002F5D"/>
          <w:sz w:val="21"/>
          <w:szCs w:val="21"/>
        </w:rPr>
        <w:t>Regímenes Especiales. Deuda pública. Letras del Tesoro en Pesos y en dólares estadounidenses con vencimiento el 15/4/2020 - RESOLUCIÓN CONJUNTA (Sec. Hacienda - Sec. Finanzas) 67/2019</w:t>
      </w:r>
    </w:p>
    <w:p w:rsidR="002D7C89" w:rsidRDefault="002D7C89" w:rsidP="00FE1362">
      <w:pPr>
        <w:pStyle w:val="NormalWeb"/>
        <w:spacing w:before="0" w:beforeAutospacing="0" w:after="0" w:afterAutospacing="0" w:line="360" w:lineRule="auto"/>
        <w:jc w:val="both"/>
        <w:rPr>
          <w:rFonts w:ascii="Arial" w:eastAsia="Times New Roman" w:hAnsi="Arial" w:cs="Arial"/>
          <w:b/>
          <w:bCs/>
          <w:color w:val="666666"/>
          <w:sz w:val="20"/>
          <w:szCs w:val="20"/>
        </w:rPr>
      </w:pPr>
    </w:p>
    <w:p w:rsidR="00FE1362" w:rsidRDefault="00FE1362" w:rsidP="005516F1">
      <w:pPr>
        <w:pStyle w:val="NormalWeb"/>
        <w:spacing w:before="0" w:beforeAutospacing="0" w:after="0" w:afterAutospacing="0" w:line="360" w:lineRule="auto"/>
        <w:jc w:val="both"/>
        <w:rPr>
          <w:rFonts w:ascii="Arial" w:eastAsia="Times New Roman" w:hAnsi="Arial" w:cs="Arial"/>
          <w:b/>
          <w:bCs/>
          <w:color w:val="666666"/>
          <w:sz w:val="20"/>
          <w:szCs w:val="20"/>
        </w:rPr>
      </w:pPr>
      <w:r w:rsidRPr="00FE1362">
        <w:rPr>
          <w:rFonts w:ascii="Arial" w:eastAsia="Times New Roman" w:hAnsi="Arial" w:cs="Arial"/>
          <w:b/>
          <w:bCs/>
          <w:color w:val="666666"/>
          <w:sz w:val="20"/>
          <w:szCs w:val="20"/>
        </w:rPr>
        <w:t xml:space="preserve">Las Letras del Tesoro en Pesos y en dólares estadounidenses con vencimiento el 15/4/2020, emitidas conforme a la presente disposición, gozan de todas las exenciones impositivas dispuestas por las leyes y reglamentaciones en la materia. </w:t>
      </w:r>
    </w:p>
    <w:p w:rsidR="00A7476B" w:rsidRDefault="00FE1362" w:rsidP="005516F1">
      <w:pPr>
        <w:pStyle w:val="NormalWeb"/>
        <w:spacing w:before="0" w:beforeAutospacing="0" w:after="0" w:afterAutospacing="0" w:line="360" w:lineRule="auto"/>
        <w:jc w:val="both"/>
        <w:rPr>
          <w:rFonts w:ascii="Arial" w:eastAsia="Times New Roman" w:hAnsi="Arial" w:cs="Arial"/>
          <w:b/>
          <w:bCs/>
          <w:color w:val="666666"/>
          <w:sz w:val="20"/>
          <w:szCs w:val="20"/>
        </w:rPr>
      </w:pPr>
      <w:r w:rsidRPr="00FE1362">
        <w:rPr>
          <w:rFonts w:ascii="Arial" w:eastAsia="Times New Roman" w:hAnsi="Arial" w:cs="Arial"/>
          <w:b/>
          <w:bCs/>
          <w:color w:val="666666"/>
          <w:sz w:val="20"/>
          <w:szCs w:val="20"/>
        </w:rPr>
        <w:t>Recordamos que la ley de reforma tributaria -L. 27430-, al incorporar el artículo 90.1 (impuesto cedular) en la ley del impuesto a las ganancias, grava con dicho impuesto la generación de renta financiera para las personas humanas</w:t>
      </w:r>
      <w:r>
        <w:rPr>
          <w:rFonts w:ascii="Arial" w:eastAsia="Times New Roman" w:hAnsi="Arial" w:cs="Arial"/>
          <w:b/>
          <w:bCs/>
          <w:color w:val="666666"/>
          <w:sz w:val="20"/>
          <w:szCs w:val="20"/>
        </w:rPr>
        <w:t>.</w:t>
      </w:r>
    </w:p>
    <w:p w:rsidR="00FE1362" w:rsidRDefault="00FE1362" w:rsidP="005516F1">
      <w:pPr>
        <w:pStyle w:val="NormalWeb"/>
        <w:spacing w:before="0" w:beforeAutospacing="0" w:after="0" w:afterAutospacing="0" w:line="360" w:lineRule="auto"/>
        <w:jc w:val="both"/>
        <w:rPr>
          <w:rFonts w:ascii="Arial" w:eastAsia="Times New Roman" w:hAnsi="Arial" w:cs="Arial"/>
          <w:b/>
          <w:bCs/>
          <w:color w:val="666666"/>
          <w:sz w:val="20"/>
          <w:szCs w:val="20"/>
        </w:rPr>
      </w:pPr>
    </w:p>
    <w:p w:rsidR="00FE1362" w:rsidRDefault="00FE1362" w:rsidP="005516F1">
      <w:pPr>
        <w:pStyle w:val="NormalWeb"/>
        <w:spacing w:before="0" w:beforeAutospacing="0" w:after="0" w:afterAutospacing="0" w:line="360" w:lineRule="auto"/>
        <w:jc w:val="both"/>
        <w:rPr>
          <w:rFonts w:ascii="Arial" w:hAnsi="Arial" w:cs="Arial"/>
          <w:b/>
          <w:bCs/>
          <w:caps/>
          <w:color w:val="002F5D"/>
          <w:sz w:val="21"/>
          <w:szCs w:val="21"/>
        </w:rPr>
      </w:pPr>
      <w:r w:rsidRPr="00FE1362">
        <w:rPr>
          <w:rFonts w:ascii="Arial" w:hAnsi="Arial" w:cs="Arial"/>
          <w:b/>
          <w:bCs/>
          <w:caps/>
          <w:color w:val="002F5D"/>
          <w:sz w:val="21"/>
          <w:szCs w:val="21"/>
        </w:rPr>
        <w:t>Regímenes especiales. Forma y condiciones en que se podrá compartir la información contenida en el Registro de Empresas MiPyMES</w:t>
      </w:r>
      <w:r>
        <w:rPr>
          <w:rFonts w:ascii="Arial" w:hAnsi="Arial" w:cs="Arial"/>
          <w:b/>
          <w:bCs/>
          <w:caps/>
          <w:color w:val="002F5D"/>
          <w:sz w:val="21"/>
          <w:szCs w:val="21"/>
        </w:rPr>
        <w:t xml:space="preserve"> - </w:t>
      </w:r>
      <w:r w:rsidRPr="00FE1362">
        <w:rPr>
          <w:rFonts w:ascii="Arial" w:hAnsi="Arial" w:cs="Arial"/>
          <w:b/>
          <w:bCs/>
          <w:caps/>
          <w:color w:val="002F5D"/>
          <w:sz w:val="21"/>
          <w:szCs w:val="21"/>
        </w:rPr>
        <w:t>Resolución (SECPYME) Nº 439/2019</w:t>
      </w:r>
    </w:p>
    <w:p w:rsidR="00FE1362" w:rsidRPr="00FE1362" w:rsidRDefault="00FE1362" w:rsidP="005516F1">
      <w:pPr>
        <w:pStyle w:val="NormalWeb"/>
        <w:spacing w:before="0" w:beforeAutospacing="0" w:after="0" w:afterAutospacing="0" w:line="360" w:lineRule="auto"/>
        <w:jc w:val="both"/>
        <w:rPr>
          <w:rFonts w:ascii="Arial" w:eastAsia="Times New Roman" w:hAnsi="Arial" w:cs="Arial"/>
          <w:b/>
          <w:bCs/>
          <w:color w:val="666666"/>
          <w:sz w:val="20"/>
          <w:szCs w:val="20"/>
        </w:rPr>
      </w:pPr>
    </w:p>
    <w:p w:rsidR="00FE1362" w:rsidRDefault="00FE1362" w:rsidP="005516F1">
      <w:pPr>
        <w:pStyle w:val="NormalWeb"/>
        <w:spacing w:before="0" w:beforeAutospacing="0" w:after="0" w:afterAutospacing="0" w:line="360" w:lineRule="auto"/>
        <w:jc w:val="both"/>
        <w:rPr>
          <w:rFonts w:ascii="Arial" w:eastAsia="Times New Roman" w:hAnsi="Arial" w:cs="Arial"/>
          <w:b/>
          <w:bCs/>
          <w:color w:val="666666"/>
          <w:sz w:val="20"/>
          <w:szCs w:val="20"/>
        </w:rPr>
      </w:pPr>
      <w:r w:rsidRPr="00FE1362">
        <w:rPr>
          <w:rFonts w:ascii="Arial" w:eastAsia="Times New Roman" w:hAnsi="Arial" w:cs="Arial"/>
          <w:b/>
          <w:bCs/>
          <w:color w:val="666666"/>
          <w:sz w:val="20"/>
          <w:szCs w:val="20"/>
        </w:rPr>
        <w:t xml:space="preserve">Modificación del Art. 13 de la R. (SECPYME) Nº 220/19 agilizando y simplificando la consulta sobre la condición </w:t>
      </w:r>
      <w:proofErr w:type="spellStart"/>
      <w:r w:rsidRPr="00FE1362">
        <w:rPr>
          <w:rFonts w:ascii="Arial" w:eastAsia="Times New Roman" w:hAnsi="Arial" w:cs="Arial"/>
          <w:b/>
          <w:bCs/>
          <w:color w:val="666666"/>
          <w:sz w:val="20"/>
          <w:szCs w:val="20"/>
        </w:rPr>
        <w:t>PyME</w:t>
      </w:r>
      <w:proofErr w:type="spellEnd"/>
      <w:r w:rsidRPr="00FE1362">
        <w:rPr>
          <w:rFonts w:ascii="Arial" w:eastAsia="Times New Roman" w:hAnsi="Arial" w:cs="Arial"/>
          <w:b/>
          <w:bCs/>
          <w:color w:val="666666"/>
          <w:sz w:val="20"/>
          <w:szCs w:val="20"/>
        </w:rPr>
        <w:t xml:space="preserve"> de las empresas del Registro de Empresas </w:t>
      </w:r>
      <w:proofErr w:type="spellStart"/>
      <w:r w:rsidRPr="00FE1362">
        <w:rPr>
          <w:rFonts w:ascii="Arial" w:eastAsia="Times New Roman" w:hAnsi="Arial" w:cs="Arial"/>
          <w:b/>
          <w:bCs/>
          <w:color w:val="666666"/>
          <w:sz w:val="20"/>
          <w:szCs w:val="20"/>
        </w:rPr>
        <w:t>MiPyMES</w:t>
      </w:r>
      <w:proofErr w:type="spellEnd"/>
      <w:r w:rsidRPr="00FE1362">
        <w:rPr>
          <w:rFonts w:ascii="Arial" w:eastAsia="Times New Roman" w:hAnsi="Arial" w:cs="Arial"/>
          <w:b/>
          <w:bCs/>
          <w:color w:val="666666"/>
          <w:sz w:val="20"/>
          <w:szCs w:val="20"/>
        </w:rPr>
        <w:t xml:space="preserve"> y la vigencia del certificado </w:t>
      </w:r>
      <w:proofErr w:type="spellStart"/>
      <w:r w:rsidRPr="00FE1362">
        <w:rPr>
          <w:rFonts w:ascii="Arial" w:eastAsia="Times New Roman" w:hAnsi="Arial" w:cs="Arial"/>
          <w:b/>
          <w:bCs/>
          <w:color w:val="666666"/>
          <w:sz w:val="20"/>
          <w:szCs w:val="20"/>
        </w:rPr>
        <w:t>MiPyME</w:t>
      </w:r>
      <w:proofErr w:type="spellEnd"/>
      <w:r w:rsidRPr="00FE1362">
        <w:rPr>
          <w:rFonts w:ascii="Arial" w:eastAsia="Times New Roman" w:hAnsi="Arial" w:cs="Arial"/>
          <w:b/>
          <w:bCs/>
          <w:color w:val="666666"/>
          <w:sz w:val="20"/>
          <w:szCs w:val="20"/>
        </w:rPr>
        <w:t xml:space="preserve">, a través del ingreso al “Web </w:t>
      </w:r>
      <w:proofErr w:type="spellStart"/>
      <w:r w:rsidRPr="00FE1362">
        <w:rPr>
          <w:rFonts w:ascii="Arial" w:eastAsia="Times New Roman" w:hAnsi="Arial" w:cs="Arial"/>
          <w:b/>
          <w:bCs/>
          <w:color w:val="666666"/>
          <w:sz w:val="20"/>
          <w:szCs w:val="20"/>
        </w:rPr>
        <w:t>Service</w:t>
      </w:r>
      <w:proofErr w:type="spellEnd"/>
      <w:r w:rsidRPr="00FE1362">
        <w:rPr>
          <w:rFonts w:ascii="Arial" w:eastAsia="Times New Roman" w:hAnsi="Arial" w:cs="Arial"/>
          <w:b/>
          <w:bCs/>
          <w:color w:val="666666"/>
          <w:sz w:val="20"/>
          <w:szCs w:val="20"/>
        </w:rPr>
        <w:t xml:space="preserve">”, en el que se encontrarán </w:t>
      </w:r>
      <w:r w:rsidRPr="00FE1362">
        <w:rPr>
          <w:rFonts w:ascii="Arial" w:eastAsia="Times New Roman" w:hAnsi="Arial" w:cs="Arial"/>
          <w:b/>
          <w:bCs/>
          <w:color w:val="666666"/>
          <w:sz w:val="20"/>
          <w:szCs w:val="20"/>
        </w:rPr>
        <w:lastRenderedPageBreak/>
        <w:t>disponibles únicamente los datos mencionados, previa solicitud a través de la Plataforma TAD</w:t>
      </w:r>
      <w:r>
        <w:rPr>
          <w:rFonts w:ascii="Arial" w:eastAsia="Times New Roman" w:hAnsi="Arial" w:cs="Arial"/>
          <w:b/>
          <w:bCs/>
          <w:color w:val="666666"/>
          <w:sz w:val="20"/>
          <w:szCs w:val="20"/>
        </w:rPr>
        <w:t>-</w:t>
      </w:r>
    </w:p>
    <w:p w:rsidR="00FE1362" w:rsidRDefault="00FE1362" w:rsidP="005516F1">
      <w:pPr>
        <w:pStyle w:val="NormalWeb"/>
        <w:spacing w:before="0" w:beforeAutospacing="0" w:after="0" w:afterAutospacing="0" w:line="360" w:lineRule="auto"/>
        <w:jc w:val="both"/>
        <w:rPr>
          <w:rFonts w:ascii="Arial" w:eastAsia="Times New Roman" w:hAnsi="Arial" w:cs="Arial"/>
          <w:b/>
          <w:bCs/>
          <w:color w:val="666666"/>
          <w:sz w:val="20"/>
          <w:szCs w:val="20"/>
        </w:rPr>
      </w:pPr>
    </w:p>
    <w:p w:rsidR="00FE1362" w:rsidRDefault="00FE1362" w:rsidP="005516F1">
      <w:pPr>
        <w:pStyle w:val="NormalWeb"/>
        <w:spacing w:before="0" w:beforeAutospacing="0" w:after="0" w:afterAutospacing="0" w:line="360" w:lineRule="auto"/>
        <w:jc w:val="both"/>
        <w:rPr>
          <w:rFonts w:ascii="Arial" w:eastAsia="Times New Roman" w:hAnsi="Arial" w:cs="Arial"/>
          <w:b/>
          <w:bCs/>
          <w:color w:val="666666"/>
          <w:sz w:val="20"/>
          <w:szCs w:val="20"/>
        </w:rPr>
      </w:pPr>
    </w:p>
    <w:p w:rsidR="00FE1362" w:rsidRPr="00FE1362" w:rsidRDefault="00FE1362" w:rsidP="005516F1">
      <w:pPr>
        <w:pStyle w:val="NormalWeb"/>
        <w:spacing w:before="0" w:beforeAutospacing="0" w:after="0" w:afterAutospacing="0" w:line="360" w:lineRule="auto"/>
        <w:jc w:val="both"/>
        <w:rPr>
          <w:rFonts w:ascii="Arial" w:eastAsia="Times New Roman" w:hAnsi="Arial" w:cs="Arial"/>
          <w:b/>
          <w:bCs/>
          <w:color w:val="666666"/>
          <w:sz w:val="20"/>
          <w:szCs w:val="20"/>
        </w:rPr>
      </w:pPr>
    </w:p>
    <w:p w:rsidR="00A7476B" w:rsidRDefault="00A7476B" w:rsidP="00A7476B">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PROVINCI</w:t>
      </w:r>
      <w:r w:rsidRPr="003B674E">
        <w:rPr>
          <w:rFonts w:ascii="Arial" w:hAnsi="Arial" w:cs="Arial"/>
          <w:b/>
          <w:bCs/>
          <w:caps/>
          <w:color w:val="002F5D"/>
        </w:rPr>
        <w:t>ales</w:t>
      </w:r>
    </w:p>
    <w:p w:rsidR="00A7476B" w:rsidRPr="003B674E" w:rsidRDefault="00A7476B" w:rsidP="00A7476B">
      <w:pPr>
        <w:pStyle w:val="NormalWeb"/>
        <w:spacing w:before="0" w:beforeAutospacing="0" w:after="0" w:afterAutospacing="0"/>
        <w:jc w:val="both"/>
        <w:rPr>
          <w:rFonts w:ascii="Arial" w:hAnsi="Arial" w:cs="Arial"/>
          <w:b/>
          <w:bCs/>
          <w:caps/>
          <w:color w:val="002F5D"/>
        </w:rPr>
      </w:pPr>
    </w:p>
    <w:p w:rsidR="00FE1362" w:rsidRDefault="00A7476B" w:rsidP="00FE1362">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SANTA FE - </w:t>
      </w:r>
      <w:r w:rsidR="002D7C89" w:rsidRPr="002D7C89">
        <w:rPr>
          <w:rFonts w:ascii="Arial" w:hAnsi="Arial" w:cs="Arial"/>
          <w:b/>
          <w:bCs/>
          <w:caps/>
          <w:color w:val="002F5D"/>
          <w:sz w:val="21"/>
          <w:szCs w:val="21"/>
        </w:rPr>
        <w:t xml:space="preserve"> </w:t>
      </w:r>
      <w:r w:rsidR="00FE1362">
        <w:rPr>
          <w:rFonts w:ascii="Arial" w:hAnsi="Arial" w:cs="Arial"/>
          <w:b/>
          <w:bCs/>
          <w:caps/>
          <w:color w:val="002F5D"/>
          <w:sz w:val="21"/>
          <w:szCs w:val="21"/>
        </w:rPr>
        <w:t xml:space="preserve">Régimen de recaudación sobre acreditaciones bancarias: se modifican las exclusiones y el </w:t>
      </w:r>
      <w:r w:rsidR="00FE1362" w:rsidRPr="00FE1362">
        <w:rPr>
          <w:rFonts w:ascii="Arial" w:hAnsi="Arial" w:cs="Arial"/>
          <w:b/>
          <w:bCs/>
          <w:caps/>
          <w:color w:val="002F5D"/>
          <w:sz w:val="21"/>
          <w:szCs w:val="21"/>
        </w:rPr>
        <w:t>régimen de información - RESOLUCIÓN GENERAL (</w:t>
      </w:r>
      <w:proofErr w:type="spellStart"/>
      <w:r w:rsidR="00FE1362" w:rsidRPr="00FE1362">
        <w:rPr>
          <w:rFonts w:ascii="Arial" w:hAnsi="Arial" w:cs="Arial"/>
          <w:b/>
          <w:bCs/>
          <w:caps/>
          <w:color w:val="002F5D"/>
          <w:sz w:val="21"/>
          <w:szCs w:val="21"/>
        </w:rPr>
        <w:t>Adm</w:t>
      </w:r>
      <w:proofErr w:type="spellEnd"/>
      <w:r w:rsidR="00FE1362" w:rsidRPr="00FE1362">
        <w:rPr>
          <w:rFonts w:ascii="Arial" w:hAnsi="Arial" w:cs="Arial"/>
          <w:b/>
          <w:bCs/>
          <w:caps/>
          <w:color w:val="002F5D"/>
          <w:sz w:val="21"/>
          <w:szCs w:val="21"/>
        </w:rPr>
        <w:t>. Prov. Impuestos Santa Fe) 23/2019</w:t>
      </w:r>
    </w:p>
    <w:p w:rsidR="002D7C89" w:rsidRPr="002D7C89" w:rsidRDefault="002D7C89" w:rsidP="002D7C89">
      <w:pPr>
        <w:jc w:val="both"/>
        <w:rPr>
          <w:rFonts w:ascii="Arial" w:hAnsi="Arial" w:cs="Arial"/>
          <w:b/>
          <w:bCs/>
          <w:caps/>
          <w:color w:val="002F5D"/>
          <w:sz w:val="21"/>
          <w:szCs w:val="21"/>
        </w:rPr>
      </w:pPr>
    </w:p>
    <w:p w:rsidR="00A7476B" w:rsidRPr="00A7476B" w:rsidRDefault="00FE1362" w:rsidP="002D7C89">
      <w:pPr>
        <w:shd w:val="clear" w:color="auto" w:fill="FDE9D9" w:themeFill="accent6" w:themeFillTint="33"/>
        <w:spacing w:line="360" w:lineRule="auto"/>
        <w:jc w:val="both"/>
        <w:rPr>
          <w:rFonts w:ascii="Arial" w:eastAsia="Times New Roman" w:hAnsi="Arial" w:cs="Arial"/>
          <w:b/>
          <w:bCs/>
          <w:color w:val="666666"/>
          <w:sz w:val="20"/>
          <w:szCs w:val="20"/>
        </w:rPr>
      </w:pPr>
      <w:r w:rsidRPr="00FE1362">
        <w:rPr>
          <w:rFonts w:ascii="Arial" w:eastAsia="Times New Roman" w:hAnsi="Arial" w:cs="Arial"/>
          <w:b/>
          <w:bCs/>
          <w:color w:val="666666"/>
          <w:sz w:val="20"/>
          <w:szCs w:val="20"/>
        </w:rPr>
        <w:t>Se adecuan, a partir del 1/11/2019, los conceptos excluidos del régimen de recaudación sobre acreditaciones bancarias, y se modifican las operaciones sujetas al régimen de información trimestral de los agentes de recaudación -RG (API Santa Fe) 7/2008</w:t>
      </w:r>
    </w:p>
    <w:p w:rsidR="002D7C89" w:rsidRDefault="002D7C89" w:rsidP="005516F1">
      <w:pPr>
        <w:pStyle w:val="NormalWeb"/>
        <w:spacing w:before="0" w:beforeAutospacing="0" w:after="0" w:afterAutospacing="0" w:line="360" w:lineRule="auto"/>
        <w:jc w:val="both"/>
        <w:rPr>
          <w:rFonts w:ascii="Arial" w:eastAsia="Times New Roman" w:hAnsi="Arial" w:cs="Arial"/>
          <w:b/>
          <w:bCs/>
          <w:color w:val="666666"/>
          <w:sz w:val="20"/>
          <w:szCs w:val="20"/>
        </w:rPr>
      </w:pPr>
    </w:p>
    <w:p w:rsidR="00DE070E" w:rsidRDefault="00DE070E" w:rsidP="00DE070E">
      <w:pPr>
        <w:shd w:val="clear" w:color="auto" w:fill="FDE9D9" w:themeFill="accent6" w:themeFillTint="33"/>
        <w:spacing w:line="360" w:lineRule="auto"/>
        <w:jc w:val="both"/>
        <w:outlineLvl w:val="2"/>
        <w:rPr>
          <w:rFonts w:ascii="Source Serif Pro" w:eastAsia="Times New Roman" w:hAnsi="Source Serif Pro"/>
          <w:color w:val="1C1C1C"/>
          <w:sz w:val="27"/>
          <w:szCs w:val="27"/>
          <w:shd w:val="clear" w:color="auto" w:fill="FFFF99"/>
        </w:rPr>
      </w:pPr>
    </w:p>
    <w:p w:rsidR="00CE400C" w:rsidRPr="00CE400C" w:rsidRDefault="00CE400C" w:rsidP="00CE400C"/>
    <w:p w:rsidR="00CE400C" w:rsidRPr="00CE400C" w:rsidRDefault="00CE400C" w:rsidP="00CE400C">
      <w:pPr>
        <w:pStyle w:val="NormalWeb"/>
        <w:spacing w:before="0" w:beforeAutospacing="0" w:after="0" w:afterAutospacing="0"/>
        <w:jc w:val="center"/>
        <w:rPr>
          <w:rFonts w:ascii="Arial" w:hAnsi="Arial" w:cs="Arial"/>
          <w:b/>
          <w:bCs/>
          <w:caps/>
          <w:color w:val="7E4F6F"/>
          <w:sz w:val="28"/>
          <w:szCs w:val="28"/>
        </w:rPr>
      </w:pPr>
      <w:r w:rsidRPr="00CE400C">
        <w:rPr>
          <w:rFonts w:ascii="Arial" w:hAnsi="Arial" w:cs="Arial"/>
          <w:b/>
          <w:bCs/>
          <w:caps/>
          <w:color w:val="7E4F6F"/>
          <w:sz w:val="28"/>
          <w:szCs w:val="28"/>
        </w:rPr>
        <w:t>LABORALES - PREVISIONALES</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FE1362" w:rsidRDefault="00FE1362" w:rsidP="00FE1362">
      <w:pPr>
        <w:shd w:val="clear" w:color="auto" w:fill="FDE9D9" w:themeFill="accent6" w:themeFillTint="33"/>
        <w:spacing w:line="300" w:lineRule="atLeast"/>
        <w:jc w:val="both"/>
        <w:rPr>
          <w:rFonts w:ascii="Arial" w:hAnsi="Arial" w:cs="Arial"/>
          <w:b/>
          <w:bCs/>
          <w:caps/>
          <w:color w:val="7E4F6F"/>
          <w:sz w:val="21"/>
          <w:szCs w:val="21"/>
        </w:rPr>
      </w:pPr>
      <w:r w:rsidRPr="00FE1362">
        <w:rPr>
          <w:rFonts w:ascii="Arial" w:hAnsi="Arial" w:cs="Arial"/>
          <w:b/>
          <w:bCs/>
          <w:caps/>
          <w:color w:val="7E4F6F"/>
          <w:sz w:val="21"/>
          <w:szCs w:val="21"/>
        </w:rPr>
        <w:t>Seguridad Social. Reglamentación de la detracción mensual de la base imponible para el cálculo de las contribuciones patronales de la actividad relacionada con la salud humana. Resolución General (AFIP) Nº 4609/2019 (BO 11/10/2019)</w:t>
      </w:r>
      <w:r>
        <w:rPr>
          <w:rFonts w:ascii="Arial" w:hAnsi="Arial" w:cs="Arial"/>
          <w:b/>
          <w:bCs/>
          <w:caps/>
          <w:color w:val="7E4F6F"/>
          <w:sz w:val="21"/>
          <w:szCs w:val="21"/>
        </w:rPr>
        <w:t>.</w:t>
      </w:r>
    </w:p>
    <w:p w:rsidR="00FE1362" w:rsidRPr="00FE1362" w:rsidRDefault="00FE1362" w:rsidP="00FE1362">
      <w:pPr>
        <w:shd w:val="clear" w:color="auto" w:fill="FDE9D9" w:themeFill="accent6" w:themeFillTint="33"/>
        <w:spacing w:line="300" w:lineRule="atLeast"/>
        <w:jc w:val="both"/>
        <w:rPr>
          <w:rFonts w:ascii="Arial" w:hAnsi="Arial" w:cs="Arial"/>
          <w:b/>
          <w:bCs/>
          <w:caps/>
          <w:color w:val="7E4F6F"/>
          <w:sz w:val="21"/>
          <w:szCs w:val="21"/>
        </w:rPr>
      </w:pPr>
    </w:p>
    <w:p w:rsidR="00FE1362" w:rsidRDefault="00FE1362" w:rsidP="00FE1362">
      <w:pPr>
        <w:pStyle w:val="NormalWeb"/>
        <w:spacing w:before="0" w:beforeAutospacing="0" w:after="0" w:afterAutospacing="0" w:line="360" w:lineRule="auto"/>
        <w:jc w:val="both"/>
        <w:rPr>
          <w:rFonts w:ascii="Arial" w:eastAsia="Times New Roman" w:hAnsi="Arial" w:cs="Arial"/>
          <w:b/>
          <w:bCs/>
          <w:color w:val="666666"/>
          <w:sz w:val="20"/>
          <w:szCs w:val="20"/>
        </w:rPr>
      </w:pPr>
      <w:r w:rsidRPr="00FE1362">
        <w:rPr>
          <w:rFonts w:ascii="Arial" w:eastAsia="Times New Roman" w:hAnsi="Arial" w:cs="Arial"/>
          <w:b/>
          <w:bCs/>
          <w:color w:val="666666"/>
          <w:sz w:val="20"/>
          <w:szCs w:val="20"/>
        </w:rPr>
        <w:t>Los empleadores pertenecientes a los servicios relacionados con la salud humana aplicarán la detracción mensual del 100% del importe del art. 4° Dto. N° 814/01 de la base imponible de las contrib</w:t>
      </w:r>
      <w:r w:rsidR="00D05D33">
        <w:rPr>
          <w:rFonts w:ascii="Arial" w:eastAsia="Times New Roman" w:hAnsi="Arial" w:cs="Arial"/>
          <w:b/>
          <w:bCs/>
          <w:color w:val="666666"/>
          <w:sz w:val="20"/>
          <w:szCs w:val="20"/>
        </w:rPr>
        <w:t>uciones</w:t>
      </w:r>
      <w:r w:rsidRPr="00FE1362">
        <w:rPr>
          <w:rFonts w:ascii="Arial" w:eastAsia="Times New Roman" w:hAnsi="Arial" w:cs="Arial"/>
          <w:b/>
          <w:bCs/>
          <w:color w:val="666666"/>
          <w:sz w:val="20"/>
          <w:szCs w:val="20"/>
        </w:rPr>
        <w:t xml:space="preserve"> patronales, con efectos a partir del período devengado agosto 2019, conforme la presente norma.</w:t>
      </w:r>
    </w:p>
    <w:p w:rsidR="007463A3" w:rsidRDefault="007463A3" w:rsidP="00FE1362">
      <w:pPr>
        <w:pStyle w:val="NormalWeb"/>
        <w:spacing w:before="0" w:beforeAutospacing="0" w:after="0" w:afterAutospacing="0" w:line="360" w:lineRule="auto"/>
        <w:jc w:val="both"/>
        <w:rPr>
          <w:rFonts w:ascii="Arial" w:eastAsia="Times New Roman" w:hAnsi="Arial" w:cs="Arial"/>
          <w:b/>
          <w:bCs/>
          <w:color w:val="666666"/>
          <w:sz w:val="20"/>
          <w:szCs w:val="20"/>
        </w:rPr>
      </w:pPr>
    </w:p>
    <w:p w:rsidR="00D05D33" w:rsidRPr="00D05D33" w:rsidRDefault="00D05D33" w:rsidP="00D05D33">
      <w:pPr>
        <w:pStyle w:val="NormalWeb"/>
        <w:shd w:val="clear" w:color="auto" w:fill="FDE9D9" w:themeFill="accent6" w:themeFillTint="33"/>
        <w:spacing w:before="0" w:beforeAutospacing="0" w:after="0" w:afterAutospacing="0" w:line="360" w:lineRule="auto"/>
        <w:jc w:val="both"/>
        <w:rPr>
          <w:rFonts w:ascii="Arial" w:hAnsi="Arial" w:cs="Arial"/>
          <w:b/>
          <w:bCs/>
          <w:caps/>
          <w:color w:val="7E4F6F"/>
          <w:sz w:val="21"/>
          <w:szCs w:val="21"/>
        </w:rPr>
      </w:pPr>
      <w:r w:rsidRPr="00D05D33">
        <w:rPr>
          <w:rFonts w:ascii="Arial" w:hAnsi="Arial" w:cs="Arial"/>
          <w:b/>
          <w:bCs/>
          <w:caps/>
          <w:color w:val="7E4F6F"/>
          <w:sz w:val="21"/>
          <w:szCs w:val="21"/>
        </w:rPr>
        <w:t>Feriados con fines turísticos para el año 2020</w:t>
      </w:r>
    </w:p>
    <w:p w:rsidR="00D05D33" w:rsidRPr="00D05D33" w:rsidRDefault="00D05D33" w:rsidP="00D05D33">
      <w:pPr>
        <w:shd w:val="clear" w:color="auto" w:fill="FDE9D9" w:themeFill="accent6" w:themeFillTint="33"/>
        <w:spacing w:line="360" w:lineRule="auto"/>
        <w:jc w:val="both"/>
        <w:rPr>
          <w:rFonts w:ascii="Arial" w:eastAsia="Times New Roman" w:hAnsi="Arial" w:cs="Arial"/>
          <w:b/>
          <w:bCs/>
          <w:color w:val="666666"/>
          <w:sz w:val="20"/>
          <w:szCs w:val="20"/>
        </w:rPr>
      </w:pPr>
      <w:r w:rsidRPr="00D05D33">
        <w:rPr>
          <w:rFonts w:ascii="Arial" w:eastAsia="Times New Roman" w:hAnsi="Arial" w:cs="Arial"/>
          <w:b/>
          <w:bCs/>
          <w:color w:val="666666"/>
          <w:sz w:val="20"/>
          <w:szCs w:val="20"/>
        </w:rPr>
        <w:t>El Poder Ejecutivo Nacional establece los días feriados con fines turísticos correspondientes al año 2020</w:t>
      </w:r>
      <w:r>
        <w:rPr>
          <w:rFonts w:ascii="Arial" w:eastAsia="Times New Roman" w:hAnsi="Arial" w:cs="Arial"/>
          <w:b/>
          <w:bCs/>
          <w:color w:val="666666"/>
          <w:sz w:val="20"/>
          <w:szCs w:val="20"/>
        </w:rPr>
        <w:t xml:space="preserve"> son los siguientes: </w:t>
      </w:r>
    </w:p>
    <w:p w:rsidR="00D05D33" w:rsidRDefault="00D05D33" w:rsidP="00D05D33">
      <w:pPr>
        <w:pStyle w:val="Prrafodelista"/>
        <w:numPr>
          <w:ilvl w:val="0"/>
          <w:numId w:val="27"/>
        </w:numPr>
        <w:shd w:val="clear" w:color="auto" w:fill="FDE9D9" w:themeFill="accent6" w:themeFillTint="33"/>
        <w:spacing w:line="360" w:lineRule="auto"/>
        <w:jc w:val="both"/>
        <w:rPr>
          <w:rFonts w:ascii="Arial" w:eastAsia="Times New Roman" w:hAnsi="Arial" w:cs="Arial"/>
          <w:b/>
          <w:bCs/>
          <w:color w:val="666666"/>
          <w:sz w:val="20"/>
          <w:szCs w:val="20"/>
        </w:rPr>
      </w:pPr>
      <w:r w:rsidRPr="00D05D33">
        <w:rPr>
          <w:rFonts w:ascii="Arial" w:eastAsia="Times New Roman" w:hAnsi="Arial" w:cs="Arial"/>
          <w:b/>
          <w:bCs/>
          <w:color w:val="666666"/>
          <w:sz w:val="20"/>
          <w:szCs w:val="20"/>
        </w:rPr>
        <w:t>23 de marzo</w:t>
      </w:r>
      <w:r>
        <w:rPr>
          <w:rFonts w:ascii="Arial" w:eastAsia="Times New Roman" w:hAnsi="Arial" w:cs="Arial"/>
          <w:b/>
          <w:bCs/>
          <w:color w:val="666666"/>
          <w:sz w:val="20"/>
          <w:szCs w:val="20"/>
        </w:rPr>
        <w:t xml:space="preserve"> de 2020</w:t>
      </w:r>
    </w:p>
    <w:p w:rsidR="00D05D33" w:rsidRDefault="00D05D33" w:rsidP="00D05D33">
      <w:pPr>
        <w:pStyle w:val="Prrafodelista"/>
        <w:numPr>
          <w:ilvl w:val="0"/>
          <w:numId w:val="27"/>
        </w:numPr>
        <w:shd w:val="clear" w:color="auto" w:fill="FDE9D9" w:themeFill="accent6" w:themeFillTint="33"/>
        <w:spacing w:line="360" w:lineRule="auto"/>
        <w:jc w:val="both"/>
        <w:rPr>
          <w:rFonts w:ascii="Arial" w:eastAsia="Times New Roman" w:hAnsi="Arial" w:cs="Arial"/>
          <w:b/>
          <w:bCs/>
          <w:color w:val="666666"/>
          <w:sz w:val="20"/>
          <w:szCs w:val="20"/>
        </w:rPr>
      </w:pPr>
      <w:r w:rsidRPr="00D05D33">
        <w:rPr>
          <w:rFonts w:ascii="Arial" w:eastAsia="Times New Roman" w:hAnsi="Arial" w:cs="Arial"/>
          <w:b/>
          <w:bCs/>
          <w:color w:val="666666"/>
          <w:sz w:val="20"/>
          <w:szCs w:val="20"/>
        </w:rPr>
        <w:t>10 de julio</w:t>
      </w:r>
      <w:r>
        <w:rPr>
          <w:rFonts w:ascii="Arial" w:eastAsia="Times New Roman" w:hAnsi="Arial" w:cs="Arial"/>
          <w:b/>
          <w:bCs/>
          <w:color w:val="666666"/>
          <w:sz w:val="20"/>
          <w:szCs w:val="20"/>
        </w:rPr>
        <w:t xml:space="preserve"> de 20020</w:t>
      </w:r>
    </w:p>
    <w:p w:rsidR="00D05D33" w:rsidRPr="00D05D33" w:rsidRDefault="00D05D33" w:rsidP="00D05D33">
      <w:pPr>
        <w:pStyle w:val="Prrafodelista"/>
        <w:numPr>
          <w:ilvl w:val="0"/>
          <w:numId w:val="27"/>
        </w:numPr>
        <w:shd w:val="clear" w:color="auto" w:fill="FDE9D9" w:themeFill="accent6" w:themeFillTint="33"/>
        <w:spacing w:line="360" w:lineRule="auto"/>
        <w:jc w:val="both"/>
        <w:rPr>
          <w:rFonts w:ascii="Arial" w:eastAsia="Times New Roman" w:hAnsi="Arial" w:cs="Arial"/>
          <w:b/>
          <w:bCs/>
          <w:color w:val="666666"/>
          <w:sz w:val="20"/>
          <w:szCs w:val="20"/>
        </w:rPr>
      </w:pPr>
      <w:r w:rsidRPr="00D05D33">
        <w:rPr>
          <w:rFonts w:ascii="Arial" w:eastAsia="Times New Roman" w:hAnsi="Arial" w:cs="Arial"/>
          <w:b/>
          <w:bCs/>
          <w:color w:val="666666"/>
          <w:sz w:val="20"/>
          <w:szCs w:val="20"/>
        </w:rPr>
        <w:t>7 de diciembre</w:t>
      </w:r>
      <w:r>
        <w:rPr>
          <w:rFonts w:ascii="Arial" w:eastAsia="Times New Roman" w:hAnsi="Arial" w:cs="Arial"/>
          <w:b/>
          <w:bCs/>
          <w:color w:val="666666"/>
          <w:sz w:val="20"/>
          <w:szCs w:val="20"/>
        </w:rPr>
        <w:t xml:space="preserve"> de 20020</w:t>
      </w:r>
    </w:p>
    <w:p w:rsidR="00D05D33" w:rsidRDefault="00D05D33" w:rsidP="00D05D33">
      <w:pPr>
        <w:pStyle w:val="NormalWeb"/>
        <w:spacing w:before="0" w:beforeAutospacing="0" w:after="0" w:afterAutospacing="0" w:line="360" w:lineRule="auto"/>
        <w:jc w:val="both"/>
        <w:rPr>
          <w:rFonts w:ascii="Arial" w:hAnsi="Arial" w:cs="Arial"/>
          <w:b/>
          <w:bCs/>
          <w:caps/>
          <w:color w:val="7E4F6F"/>
          <w:sz w:val="22"/>
          <w:szCs w:val="22"/>
        </w:rPr>
      </w:pPr>
    </w:p>
    <w:p w:rsidR="00D05D33" w:rsidRDefault="00D05D33" w:rsidP="00A7476B">
      <w:pPr>
        <w:pStyle w:val="NormalWeb"/>
        <w:spacing w:before="0" w:beforeAutospacing="0" w:after="0" w:afterAutospacing="0" w:line="360" w:lineRule="auto"/>
        <w:jc w:val="both"/>
        <w:rPr>
          <w:rFonts w:ascii="Arial" w:hAnsi="Arial" w:cs="Arial"/>
          <w:b/>
          <w:bCs/>
          <w:caps/>
          <w:color w:val="7E4F6F"/>
          <w:sz w:val="22"/>
          <w:szCs w:val="22"/>
        </w:rPr>
      </w:pPr>
    </w:p>
    <w:p w:rsidR="00D05D33" w:rsidRDefault="00D05D33" w:rsidP="00A7476B">
      <w:pPr>
        <w:pStyle w:val="NormalWeb"/>
        <w:spacing w:before="0" w:beforeAutospacing="0" w:after="0" w:afterAutospacing="0" w:line="360" w:lineRule="auto"/>
        <w:jc w:val="both"/>
        <w:rPr>
          <w:rFonts w:ascii="Arial" w:hAnsi="Arial" w:cs="Arial"/>
          <w:b/>
          <w:bCs/>
          <w:caps/>
          <w:color w:val="7E4F6F"/>
          <w:sz w:val="22"/>
          <w:szCs w:val="22"/>
        </w:rPr>
      </w:pPr>
    </w:p>
    <w:p w:rsidR="00D05D33" w:rsidRDefault="00D05D33" w:rsidP="00A7476B">
      <w:pPr>
        <w:pStyle w:val="NormalWeb"/>
        <w:spacing w:before="0" w:beforeAutospacing="0" w:after="0" w:afterAutospacing="0" w:line="360" w:lineRule="auto"/>
        <w:jc w:val="both"/>
        <w:rPr>
          <w:rFonts w:ascii="Arial" w:hAnsi="Arial" w:cs="Arial"/>
          <w:b/>
          <w:bCs/>
          <w:caps/>
          <w:color w:val="7E4F6F"/>
          <w:sz w:val="22"/>
          <w:szCs w:val="22"/>
        </w:rPr>
      </w:pPr>
    </w:p>
    <w:p w:rsidR="00A7476B" w:rsidRPr="00D05D33" w:rsidRDefault="00A7476B" w:rsidP="00A7476B">
      <w:pPr>
        <w:pStyle w:val="NormalWeb"/>
        <w:spacing w:before="0" w:beforeAutospacing="0" w:after="0" w:afterAutospacing="0" w:line="360" w:lineRule="auto"/>
        <w:jc w:val="both"/>
        <w:rPr>
          <w:rFonts w:ascii="Arial" w:hAnsi="Arial" w:cs="Arial"/>
          <w:b/>
          <w:bCs/>
          <w:caps/>
          <w:color w:val="7E4F6F"/>
          <w:sz w:val="22"/>
          <w:szCs w:val="22"/>
        </w:rPr>
      </w:pPr>
      <w:r w:rsidRPr="00D05D33">
        <w:rPr>
          <w:rFonts w:ascii="Arial" w:hAnsi="Arial" w:cs="Arial"/>
          <w:b/>
          <w:bCs/>
          <w:caps/>
          <w:color w:val="7E4F6F"/>
          <w:sz w:val="22"/>
          <w:szCs w:val="22"/>
        </w:rPr>
        <w:t>JURISPRUDENCIA</w:t>
      </w:r>
    </w:p>
    <w:p w:rsidR="00A7476B" w:rsidRPr="00FE1362" w:rsidRDefault="00A7476B" w:rsidP="00A7476B">
      <w:pPr>
        <w:pStyle w:val="NormalWeb"/>
        <w:spacing w:before="0" w:beforeAutospacing="0" w:after="0" w:afterAutospacing="0" w:line="360" w:lineRule="auto"/>
        <w:jc w:val="both"/>
        <w:rPr>
          <w:rFonts w:ascii="Arial" w:hAnsi="Arial" w:cs="Arial"/>
          <w:b/>
          <w:bCs/>
          <w:caps/>
          <w:color w:val="7E4F6F"/>
          <w:sz w:val="21"/>
          <w:szCs w:val="21"/>
        </w:rPr>
      </w:pPr>
    </w:p>
    <w:p w:rsidR="00FE1362" w:rsidRDefault="00FE1362" w:rsidP="00FE1362">
      <w:pPr>
        <w:pStyle w:val="NormalWeb"/>
        <w:spacing w:before="0" w:beforeAutospacing="0" w:after="0" w:afterAutospacing="0"/>
        <w:jc w:val="both"/>
        <w:rPr>
          <w:rFonts w:ascii="Arial" w:hAnsi="Arial" w:cs="Arial"/>
          <w:b/>
          <w:bCs/>
          <w:caps/>
          <w:color w:val="7E4F6F"/>
          <w:sz w:val="21"/>
          <w:szCs w:val="21"/>
        </w:rPr>
      </w:pPr>
      <w:r w:rsidRPr="00FE1362">
        <w:rPr>
          <w:rFonts w:ascii="Arial" w:hAnsi="Arial" w:cs="Arial"/>
          <w:b/>
          <w:bCs/>
          <w:caps/>
          <w:color w:val="7E4F6F"/>
          <w:sz w:val="21"/>
          <w:szCs w:val="21"/>
        </w:rPr>
        <w:t>Impuesto a las ganancias: se ordena a la AFIP que se abstenga de efectuar retenciones sobre los haberes previsionales de la actora</w:t>
      </w:r>
    </w:p>
    <w:p w:rsidR="00FE1362" w:rsidRPr="00FE1362" w:rsidRDefault="00FE1362" w:rsidP="00FE1362">
      <w:pPr>
        <w:pStyle w:val="NormalWeb"/>
        <w:spacing w:before="0" w:beforeAutospacing="0" w:after="0" w:afterAutospacing="0"/>
        <w:jc w:val="both"/>
        <w:rPr>
          <w:rFonts w:ascii="Arial" w:hAnsi="Arial" w:cs="Arial"/>
          <w:b/>
          <w:bCs/>
          <w:caps/>
          <w:color w:val="7E4F6F"/>
          <w:sz w:val="21"/>
          <w:szCs w:val="21"/>
        </w:rPr>
      </w:pPr>
    </w:p>
    <w:p w:rsidR="00D05D33" w:rsidRDefault="00FE1362" w:rsidP="00FE1362">
      <w:pPr>
        <w:pStyle w:val="NormalWeb"/>
        <w:spacing w:before="0" w:beforeAutospacing="0" w:after="0" w:afterAutospacing="0" w:line="360" w:lineRule="auto"/>
        <w:jc w:val="both"/>
        <w:rPr>
          <w:rFonts w:ascii="Arial" w:eastAsia="Times New Roman" w:hAnsi="Arial" w:cs="Arial"/>
          <w:b/>
          <w:bCs/>
          <w:color w:val="666666"/>
          <w:sz w:val="20"/>
          <w:szCs w:val="20"/>
        </w:rPr>
      </w:pPr>
      <w:r w:rsidRPr="00D05D33">
        <w:rPr>
          <w:rFonts w:ascii="Arial" w:eastAsia="Times New Roman" w:hAnsi="Arial" w:cs="Arial"/>
          <w:b/>
          <w:bCs/>
          <w:color w:val="666666"/>
          <w:sz w:val="20"/>
          <w:szCs w:val="20"/>
        </w:rPr>
        <w:t>La Sala A de la Cámara Federal de Córdoba, en autos “</w:t>
      </w:r>
      <w:proofErr w:type="spellStart"/>
      <w:r w:rsidRPr="00D05D33">
        <w:rPr>
          <w:rFonts w:ascii="Arial" w:eastAsia="Times New Roman" w:hAnsi="Arial" w:cs="Arial"/>
          <w:b/>
          <w:bCs/>
          <w:color w:val="666666"/>
          <w:sz w:val="20"/>
          <w:szCs w:val="20"/>
        </w:rPr>
        <w:t>Avancini</w:t>
      </w:r>
      <w:proofErr w:type="spellEnd"/>
      <w:r w:rsidRPr="00D05D33">
        <w:rPr>
          <w:rFonts w:ascii="Arial" w:eastAsia="Times New Roman" w:hAnsi="Arial" w:cs="Arial"/>
          <w:b/>
          <w:bCs/>
          <w:color w:val="666666"/>
          <w:sz w:val="20"/>
          <w:szCs w:val="20"/>
        </w:rPr>
        <w:t xml:space="preserve">, Susana Esther c/EN - AFIP - acción meramente declarativa de inconstitucionalidad", ordenó a la AFIP -a través del órgano de retención correspondiente, Caja de Jubilaciones, Pensiones y Retiros de la Provincia de Córdoba- que se abstenga de retener sobre los haberes previsionales de la actora suma alguna en concepto de impuesto a las ganancias, por un período de seis meses o hasta que se resuelva sobre el fondo de la cuestión planteada. </w:t>
      </w:r>
    </w:p>
    <w:p w:rsidR="00A7476B" w:rsidRDefault="00FE1362" w:rsidP="00FE1362">
      <w:pPr>
        <w:pStyle w:val="NormalWeb"/>
        <w:spacing w:before="0" w:beforeAutospacing="0" w:after="0" w:afterAutospacing="0" w:line="360" w:lineRule="auto"/>
        <w:jc w:val="both"/>
        <w:rPr>
          <w:rFonts w:ascii="Arial" w:eastAsia="Times New Roman" w:hAnsi="Arial" w:cs="Arial"/>
          <w:b/>
          <w:bCs/>
          <w:color w:val="666666"/>
          <w:sz w:val="20"/>
          <w:szCs w:val="20"/>
        </w:rPr>
      </w:pPr>
      <w:r w:rsidRPr="00D05D33">
        <w:rPr>
          <w:rFonts w:ascii="Arial" w:eastAsia="Times New Roman" w:hAnsi="Arial" w:cs="Arial"/>
          <w:b/>
          <w:bCs/>
          <w:color w:val="666666"/>
          <w:sz w:val="20"/>
          <w:szCs w:val="20"/>
        </w:rPr>
        <w:t>Los magistrados recordaron que la Corte Suprema de Justicia de la Nación se ha expedido en “García, María Isabel c/AFIP s/acción meramente declarativa de inconstitucionalidad” sobre la inconstitucionalidad de los artículos 23 -inc. c)-, 79 -inc. c)-, 81 y 90 de la ley 20628 (texto s/L. 27346 y 27430), poniendo en conocimiento del Congreso de la Nación la necesidad de adoptar un tratamiento diferenciado para la tutela de jubilados en condiciones de vulnerabilidad por ancianidad o enfermedad, que conjugue este factor relevante con el de la capacidad contributiva potencial</w:t>
      </w:r>
      <w:r w:rsidR="00D05D33">
        <w:rPr>
          <w:rFonts w:ascii="Arial" w:eastAsia="Times New Roman" w:hAnsi="Arial" w:cs="Arial"/>
          <w:b/>
          <w:bCs/>
          <w:color w:val="666666"/>
          <w:sz w:val="20"/>
          <w:szCs w:val="20"/>
        </w:rPr>
        <w:t>.</w:t>
      </w:r>
    </w:p>
    <w:p w:rsidR="00D05D33" w:rsidRDefault="00D05D33" w:rsidP="00D05D33">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tbl>
      <w:tblPr>
        <w:tblW w:w="5118" w:type="pct"/>
        <w:jc w:val="center"/>
        <w:tblCellSpacing w:w="0" w:type="dxa"/>
        <w:tblInd w:w="-136" w:type="dxa"/>
        <w:tblCellMar>
          <w:left w:w="0" w:type="dxa"/>
          <w:right w:w="0" w:type="dxa"/>
        </w:tblCellMar>
        <w:tblLook w:val="04A0"/>
      </w:tblPr>
      <w:tblGrid>
        <w:gridCol w:w="9365"/>
      </w:tblGrid>
      <w:tr w:rsidR="00D05D33" w:rsidTr="00D05D33">
        <w:trPr>
          <w:tblCellSpacing w:w="0" w:type="dxa"/>
          <w:jc w:val="center"/>
        </w:trPr>
        <w:tc>
          <w:tcPr>
            <w:tcW w:w="0" w:type="auto"/>
            <w:tcBorders>
              <w:top w:val="nil"/>
              <w:left w:val="single" w:sz="24" w:space="0" w:color="9DAFA8"/>
              <w:bottom w:val="nil"/>
              <w:right w:val="nil"/>
            </w:tcBorders>
            <w:shd w:val="clear" w:color="auto" w:fill="FDE9D9" w:themeFill="accent6" w:themeFillTint="33"/>
            <w:tcMar>
              <w:top w:w="150" w:type="dxa"/>
              <w:left w:w="150" w:type="dxa"/>
              <w:bottom w:w="150" w:type="dxa"/>
              <w:right w:w="150" w:type="dxa"/>
            </w:tcMar>
            <w:vAlign w:val="center"/>
            <w:hideMark/>
          </w:tcPr>
          <w:p w:rsidR="00D05D33" w:rsidRDefault="00D05D33" w:rsidP="00D05D33">
            <w:pPr>
              <w:pStyle w:val="NormalWeb"/>
              <w:spacing w:before="0" w:beforeAutospacing="0" w:after="0" w:afterAutospacing="0" w:line="360" w:lineRule="auto"/>
              <w:jc w:val="both"/>
              <w:rPr>
                <w:rFonts w:ascii="Arial" w:eastAsia="Times New Roman" w:hAnsi="Arial" w:cs="Arial"/>
                <w:b/>
                <w:bCs/>
                <w:caps/>
                <w:color w:val="FFFFFF"/>
              </w:rPr>
            </w:pPr>
            <w:r w:rsidRPr="00D05D33">
              <w:rPr>
                <w:rFonts w:ascii="Arial" w:hAnsi="Arial" w:cs="Arial"/>
                <w:b/>
                <w:bCs/>
                <w:caps/>
                <w:color w:val="7E4F6F"/>
                <w:sz w:val="22"/>
                <w:szCs w:val="22"/>
              </w:rPr>
              <w:t>Indec. Variación porcentual</w:t>
            </w:r>
          </w:p>
        </w:tc>
      </w:tr>
      <w:tr w:rsidR="00D05D33" w:rsidTr="00D05D33">
        <w:trPr>
          <w:tblCellSpacing w:w="0" w:type="dxa"/>
          <w:jc w:val="center"/>
        </w:trPr>
        <w:tc>
          <w:tcPr>
            <w:tcW w:w="5000" w:type="pct"/>
            <w:tcBorders>
              <w:top w:val="nil"/>
              <w:left w:val="single" w:sz="24" w:space="0" w:color="D8E0DD"/>
              <w:bottom w:val="nil"/>
              <w:right w:val="nil"/>
            </w:tcBorders>
            <w:shd w:val="clear" w:color="auto" w:fill="FDE9D9" w:themeFill="accent6" w:themeFillTint="33"/>
            <w:tcMar>
              <w:top w:w="150" w:type="dxa"/>
              <w:left w:w="150" w:type="dxa"/>
              <w:bottom w:w="150" w:type="dxa"/>
              <w:right w:w="150" w:type="dxa"/>
            </w:tcMar>
            <w:vAlign w:val="center"/>
            <w:hideMark/>
          </w:tcPr>
          <w:p w:rsidR="00D05D33" w:rsidRDefault="00D05D33" w:rsidP="00D05D33">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SISTEMA DE ÍNDICES DE PRECIOS MAYORISTAS (SIPM). ÍNDICE DEL COSTO DE LA CONSTRUCCIÓN (ICC). ÍNDICE DE PRECIOS AL CONSUMIDOR (IPC). SETIEMBRE DE 2019</w:t>
            </w:r>
          </w:p>
          <w:p w:rsidR="00D05D33" w:rsidRDefault="00D05D33" w:rsidP="00D05D33">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D05D33" w:rsidRPr="00D05D33" w:rsidRDefault="00D05D33" w:rsidP="00D05D33">
            <w:pPr>
              <w:shd w:val="clear" w:color="auto" w:fill="FDE9D9" w:themeFill="accent6" w:themeFillTint="33"/>
              <w:spacing w:after="240" w:line="360" w:lineRule="auto"/>
              <w:jc w:val="both"/>
              <w:rPr>
                <w:rFonts w:ascii="Arial" w:eastAsia="Times New Roman" w:hAnsi="Arial" w:cs="Arial"/>
                <w:b/>
                <w:bCs/>
                <w:color w:val="666666"/>
                <w:sz w:val="20"/>
                <w:szCs w:val="20"/>
              </w:rPr>
            </w:pPr>
            <w:r w:rsidRPr="00D05D33">
              <w:rPr>
                <w:rFonts w:ascii="Arial" w:eastAsia="Times New Roman" w:hAnsi="Arial" w:cs="Arial"/>
                <w:b/>
                <w:bCs/>
                <w:color w:val="666666"/>
                <w:sz w:val="20"/>
                <w:szCs w:val="20"/>
              </w:rPr>
              <w:t xml:space="preserve">El Instituto Nacional de Estadística y Censos (INDEC) ha difundido la variación porcentual de los "Índices de Precios Mayoristas" (SIPM), "Índice del Costo de la Construcción" (ICC) e “Índice de Precios al Consumidor” (IPC) para el mes de setiembre de 2019: </w:t>
            </w:r>
          </w:p>
          <w:tbl>
            <w:tblPr>
              <w:tblW w:w="3000"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3018"/>
              <w:gridCol w:w="2375"/>
            </w:tblGrid>
            <w:tr w:rsidR="00D05D33" w:rsidRPr="00D05D33" w:rsidTr="00D05D33">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DE9D9" w:themeFill="accent6" w:themeFillTint="33"/>
                  <w:tcMar>
                    <w:top w:w="15" w:type="dxa"/>
                    <w:left w:w="15" w:type="dxa"/>
                    <w:bottom w:w="15" w:type="dxa"/>
                    <w:right w:w="15" w:type="dxa"/>
                  </w:tcMar>
                  <w:vAlign w:val="center"/>
                  <w:hideMark/>
                </w:tcPr>
                <w:p w:rsidR="00D05D33" w:rsidRPr="00D05D33" w:rsidRDefault="00D05D33" w:rsidP="00D05D33">
                  <w:pPr>
                    <w:shd w:val="clear" w:color="auto" w:fill="FDE9D9" w:themeFill="accent6" w:themeFillTint="33"/>
                    <w:jc w:val="center"/>
                    <w:rPr>
                      <w:rFonts w:ascii="Arial" w:eastAsia="Times New Roman" w:hAnsi="Arial" w:cs="Arial"/>
                      <w:b/>
                      <w:bCs/>
                      <w:color w:val="666666"/>
                      <w:sz w:val="20"/>
                      <w:szCs w:val="20"/>
                    </w:rPr>
                  </w:pPr>
                  <w:r w:rsidRPr="00D05D33">
                    <w:t>Nivel General 2019</w:t>
                  </w:r>
                </w:p>
              </w:tc>
              <w:tc>
                <w:tcPr>
                  <w:tcW w:w="0" w:type="auto"/>
                  <w:tcBorders>
                    <w:top w:val="outset" w:sz="6" w:space="0" w:color="auto"/>
                    <w:left w:val="outset" w:sz="6" w:space="0" w:color="auto"/>
                    <w:bottom w:val="outset" w:sz="6" w:space="0" w:color="auto"/>
                    <w:right w:val="outset" w:sz="6" w:space="0" w:color="auto"/>
                  </w:tcBorders>
                  <w:shd w:val="clear" w:color="auto" w:fill="FDE9D9" w:themeFill="accent6" w:themeFillTint="33"/>
                  <w:tcMar>
                    <w:top w:w="15" w:type="dxa"/>
                    <w:left w:w="15" w:type="dxa"/>
                    <w:bottom w:w="15" w:type="dxa"/>
                    <w:right w:w="15" w:type="dxa"/>
                  </w:tcMar>
                  <w:vAlign w:val="center"/>
                  <w:hideMark/>
                </w:tcPr>
                <w:p w:rsidR="00D05D33" w:rsidRPr="00D05D33" w:rsidRDefault="00D05D33" w:rsidP="00D05D33">
                  <w:pPr>
                    <w:shd w:val="clear" w:color="auto" w:fill="FDE9D9" w:themeFill="accent6" w:themeFillTint="33"/>
                    <w:jc w:val="center"/>
                    <w:rPr>
                      <w:rFonts w:ascii="Arial" w:eastAsia="Times New Roman" w:hAnsi="Arial" w:cs="Arial"/>
                      <w:b/>
                      <w:bCs/>
                      <w:color w:val="666666"/>
                      <w:sz w:val="20"/>
                      <w:szCs w:val="20"/>
                    </w:rPr>
                  </w:pPr>
                  <w:r w:rsidRPr="00D05D33">
                    <w:t>SETIEMBRE 2019 (*)</w:t>
                  </w:r>
                </w:p>
              </w:tc>
            </w:tr>
            <w:tr w:rsidR="00D05D33" w:rsidRPr="00D05D33" w:rsidTr="00D05D33">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D05D33" w:rsidRPr="00D05D33" w:rsidRDefault="00D05D33" w:rsidP="00D05D33">
                  <w:pPr>
                    <w:shd w:val="clear" w:color="auto" w:fill="FDE9D9" w:themeFill="accent6" w:themeFillTint="33"/>
                    <w:rPr>
                      <w:rFonts w:ascii="Arial" w:eastAsia="Times New Roman" w:hAnsi="Arial" w:cs="Arial"/>
                      <w:b/>
                      <w:bCs/>
                      <w:color w:val="666666"/>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DE9D9" w:themeFill="accent6" w:themeFillTint="33"/>
                  <w:tcMar>
                    <w:top w:w="15" w:type="dxa"/>
                    <w:left w:w="15" w:type="dxa"/>
                    <w:bottom w:w="15" w:type="dxa"/>
                    <w:right w:w="15" w:type="dxa"/>
                  </w:tcMar>
                  <w:vAlign w:val="center"/>
                  <w:hideMark/>
                </w:tcPr>
                <w:p w:rsidR="00D05D33" w:rsidRPr="00D05D33" w:rsidRDefault="00D05D33" w:rsidP="00D05D33">
                  <w:pPr>
                    <w:shd w:val="clear" w:color="auto" w:fill="FDE9D9" w:themeFill="accent6" w:themeFillTint="33"/>
                    <w:jc w:val="center"/>
                    <w:rPr>
                      <w:rFonts w:ascii="Arial" w:eastAsia="Times New Roman" w:hAnsi="Arial" w:cs="Arial"/>
                      <w:b/>
                      <w:bCs/>
                      <w:color w:val="666666"/>
                      <w:sz w:val="20"/>
                      <w:szCs w:val="20"/>
                    </w:rPr>
                  </w:pPr>
                  <w:r w:rsidRPr="00D05D33">
                    <w:t>Variación % respecto al mes anterior</w:t>
                  </w:r>
                </w:p>
              </w:tc>
            </w:tr>
            <w:tr w:rsidR="00D05D33" w:rsidRPr="00D05D33" w:rsidTr="00D05D3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DE9D9" w:themeFill="accent6" w:themeFillTint="33"/>
                  <w:tcMar>
                    <w:top w:w="15" w:type="dxa"/>
                    <w:left w:w="15" w:type="dxa"/>
                    <w:bottom w:w="15" w:type="dxa"/>
                    <w:right w:w="15" w:type="dxa"/>
                  </w:tcMar>
                  <w:vAlign w:val="center"/>
                  <w:hideMark/>
                </w:tcPr>
                <w:p w:rsidR="00D05D33" w:rsidRPr="00D05D33" w:rsidRDefault="00D05D33" w:rsidP="00D05D33">
                  <w:pPr>
                    <w:shd w:val="clear" w:color="auto" w:fill="FDE9D9" w:themeFill="accent6" w:themeFillTint="33"/>
                    <w:jc w:val="center"/>
                    <w:rPr>
                      <w:rFonts w:ascii="Arial" w:eastAsia="Times New Roman" w:hAnsi="Arial" w:cs="Arial"/>
                      <w:b/>
                      <w:bCs/>
                      <w:color w:val="666666"/>
                      <w:sz w:val="20"/>
                      <w:szCs w:val="20"/>
                    </w:rPr>
                  </w:pPr>
                  <w:r w:rsidRPr="00D05D33">
                    <w:rPr>
                      <w:rFonts w:ascii="Arial" w:eastAsia="Times New Roman" w:hAnsi="Arial" w:cs="Arial"/>
                      <w:b/>
                      <w:bCs/>
                      <w:color w:val="666666"/>
                      <w:sz w:val="20"/>
                      <w:szCs w:val="20"/>
                    </w:rPr>
                    <w:t>Índice de Precios Internos al por Mayor (IPIM)</w:t>
                  </w:r>
                </w:p>
              </w:tc>
              <w:tc>
                <w:tcPr>
                  <w:tcW w:w="0" w:type="auto"/>
                  <w:tcBorders>
                    <w:top w:val="outset" w:sz="6" w:space="0" w:color="auto"/>
                    <w:left w:val="outset" w:sz="6" w:space="0" w:color="auto"/>
                    <w:bottom w:val="outset" w:sz="6" w:space="0" w:color="auto"/>
                    <w:right w:val="outset" w:sz="6" w:space="0" w:color="auto"/>
                  </w:tcBorders>
                  <w:shd w:val="clear" w:color="auto" w:fill="FDE9D9" w:themeFill="accent6" w:themeFillTint="33"/>
                  <w:tcMar>
                    <w:top w:w="15" w:type="dxa"/>
                    <w:left w:w="15" w:type="dxa"/>
                    <w:bottom w:w="15" w:type="dxa"/>
                    <w:right w:w="15" w:type="dxa"/>
                  </w:tcMar>
                  <w:vAlign w:val="center"/>
                  <w:hideMark/>
                </w:tcPr>
                <w:p w:rsidR="00D05D33" w:rsidRPr="00D05D33" w:rsidRDefault="00D05D33" w:rsidP="00D05D33">
                  <w:pPr>
                    <w:shd w:val="clear" w:color="auto" w:fill="FDE9D9" w:themeFill="accent6" w:themeFillTint="33"/>
                    <w:jc w:val="center"/>
                    <w:rPr>
                      <w:rFonts w:ascii="Arial" w:eastAsia="Times New Roman" w:hAnsi="Arial" w:cs="Arial"/>
                      <w:b/>
                      <w:bCs/>
                      <w:color w:val="666666"/>
                      <w:sz w:val="20"/>
                      <w:szCs w:val="20"/>
                    </w:rPr>
                  </w:pPr>
                  <w:r w:rsidRPr="00D05D33">
                    <w:rPr>
                      <w:rFonts w:ascii="Arial" w:eastAsia="Times New Roman" w:hAnsi="Arial" w:cs="Arial"/>
                      <w:b/>
                      <w:bCs/>
                      <w:color w:val="666666"/>
                      <w:sz w:val="20"/>
                      <w:szCs w:val="20"/>
                    </w:rPr>
                    <w:t>4,2</w:t>
                  </w:r>
                </w:p>
              </w:tc>
            </w:tr>
            <w:tr w:rsidR="00D05D33" w:rsidRPr="00D05D33" w:rsidTr="00D05D3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DE9D9" w:themeFill="accent6" w:themeFillTint="33"/>
                  <w:tcMar>
                    <w:top w:w="15" w:type="dxa"/>
                    <w:left w:w="15" w:type="dxa"/>
                    <w:bottom w:w="15" w:type="dxa"/>
                    <w:right w:w="15" w:type="dxa"/>
                  </w:tcMar>
                  <w:vAlign w:val="center"/>
                  <w:hideMark/>
                </w:tcPr>
                <w:p w:rsidR="00D05D33" w:rsidRPr="00D05D33" w:rsidRDefault="00D05D33" w:rsidP="00D05D33">
                  <w:pPr>
                    <w:shd w:val="clear" w:color="auto" w:fill="FDE9D9" w:themeFill="accent6" w:themeFillTint="33"/>
                    <w:jc w:val="center"/>
                    <w:rPr>
                      <w:rFonts w:ascii="Arial" w:eastAsia="Times New Roman" w:hAnsi="Arial" w:cs="Arial"/>
                      <w:b/>
                      <w:bCs/>
                      <w:color w:val="666666"/>
                      <w:sz w:val="20"/>
                      <w:szCs w:val="20"/>
                    </w:rPr>
                  </w:pPr>
                  <w:r w:rsidRPr="00D05D33">
                    <w:rPr>
                      <w:rFonts w:ascii="Arial" w:eastAsia="Times New Roman" w:hAnsi="Arial" w:cs="Arial"/>
                      <w:b/>
                      <w:bCs/>
                      <w:color w:val="666666"/>
                      <w:sz w:val="20"/>
                      <w:szCs w:val="20"/>
                    </w:rPr>
                    <w:t>Índice de Precios Internos Básicos al por Mayor (IPIB)</w:t>
                  </w:r>
                </w:p>
              </w:tc>
              <w:tc>
                <w:tcPr>
                  <w:tcW w:w="0" w:type="auto"/>
                  <w:tcBorders>
                    <w:top w:val="outset" w:sz="6" w:space="0" w:color="auto"/>
                    <w:left w:val="outset" w:sz="6" w:space="0" w:color="auto"/>
                    <w:bottom w:val="outset" w:sz="6" w:space="0" w:color="auto"/>
                    <w:right w:val="outset" w:sz="6" w:space="0" w:color="auto"/>
                  </w:tcBorders>
                  <w:shd w:val="clear" w:color="auto" w:fill="FDE9D9" w:themeFill="accent6" w:themeFillTint="33"/>
                  <w:tcMar>
                    <w:top w:w="15" w:type="dxa"/>
                    <w:left w:w="15" w:type="dxa"/>
                    <w:bottom w:w="15" w:type="dxa"/>
                    <w:right w:w="15" w:type="dxa"/>
                  </w:tcMar>
                  <w:vAlign w:val="center"/>
                  <w:hideMark/>
                </w:tcPr>
                <w:p w:rsidR="00D05D33" w:rsidRPr="00D05D33" w:rsidRDefault="00D05D33" w:rsidP="00D05D33">
                  <w:pPr>
                    <w:shd w:val="clear" w:color="auto" w:fill="FDE9D9" w:themeFill="accent6" w:themeFillTint="33"/>
                    <w:jc w:val="center"/>
                    <w:rPr>
                      <w:rFonts w:ascii="Arial" w:eastAsia="Times New Roman" w:hAnsi="Arial" w:cs="Arial"/>
                      <w:b/>
                      <w:bCs/>
                      <w:color w:val="666666"/>
                      <w:sz w:val="20"/>
                      <w:szCs w:val="20"/>
                    </w:rPr>
                  </w:pPr>
                  <w:r w:rsidRPr="00D05D33">
                    <w:rPr>
                      <w:rFonts w:ascii="Arial" w:eastAsia="Times New Roman" w:hAnsi="Arial" w:cs="Arial"/>
                      <w:b/>
                      <w:bCs/>
                      <w:color w:val="666666"/>
                      <w:sz w:val="20"/>
                      <w:szCs w:val="20"/>
                    </w:rPr>
                    <w:t>4,4</w:t>
                  </w:r>
                </w:p>
              </w:tc>
            </w:tr>
            <w:tr w:rsidR="00D05D33" w:rsidRPr="00D05D33" w:rsidTr="00D05D3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DE9D9" w:themeFill="accent6" w:themeFillTint="33"/>
                  <w:tcMar>
                    <w:top w:w="15" w:type="dxa"/>
                    <w:left w:w="15" w:type="dxa"/>
                    <w:bottom w:w="15" w:type="dxa"/>
                    <w:right w:w="15" w:type="dxa"/>
                  </w:tcMar>
                  <w:vAlign w:val="center"/>
                  <w:hideMark/>
                </w:tcPr>
                <w:p w:rsidR="00D05D33" w:rsidRPr="00D05D33" w:rsidRDefault="00D05D33" w:rsidP="00D05D33">
                  <w:pPr>
                    <w:shd w:val="clear" w:color="auto" w:fill="FDE9D9" w:themeFill="accent6" w:themeFillTint="33"/>
                    <w:jc w:val="center"/>
                    <w:rPr>
                      <w:rFonts w:ascii="Arial" w:eastAsia="Times New Roman" w:hAnsi="Arial" w:cs="Arial"/>
                      <w:b/>
                      <w:bCs/>
                      <w:color w:val="666666"/>
                      <w:sz w:val="20"/>
                      <w:szCs w:val="20"/>
                    </w:rPr>
                  </w:pPr>
                  <w:r w:rsidRPr="00D05D33">
                    <w:rPr>
                      <w:rFonts w:ascii="Arial" w:eastAsia="Times New Roman" w:hAnsi="Arial" w:cs="Arial"/>
                      <w:b/>
                      <w:bCs/>
                      <w:color w:val="666666"/>
                      <w:sz w:val="20"/>
                      <w:szCs w:val="20"/>
                    </w:rPr>
                    <w:t>Índice de Precios Básicos del Productor (IPP)</w:t>
                  </w:r>
                </w:p>
              </w:tc>
              <w:tc>
                <w:tcPr>
                  <w:tcW w:w="0" w:type="auto"/>
                  <w:tcBorders>
                    <w:top w:val="outset" w:sz="6" w:space="0" w:color="auto"/>
                    <w:left w:val="outset" w:sz="6" w:space="0" w:color="auto"/>
                    <w:bottom w:val="outset" w:sz="6" w:space="0" w:color="auto"/>
                    <w:right w:val="outset" w:sz="6" w:space="0" w:color="auto"/>
                  </w:tcBorders>
                  <w:shd w:val="clear" w:color="auto" w:fill="FDE9D9" w:themeFill="accent6" w:themeFillTint="33"/>
                  <w:tcMar>
                    <w:top w:w="15" w:type="dxa"/>
                    <w:left w:w="15" w:type="dxa"/>
                    <w:bottom w:w="15" w:type="dxa"/>
                    <w:right w:w="15" w:type="dxa"/>
                  </w:tcMar>
                  <w:vAlign w:val="center"/>
                  <w:hideMark/>
                </w:tcPr>
                <w:p w:rsidR="00D05D33" w:rsidRPr="00D05D33" w:rsidRDefault="00D05D33" w:rsidP="00D05D33">
                  <w:pPr>
                    <w:shd w:val="clear" w:color="auto" w:fill="FDE9D9" w:themeFill="accent6" w:themeFillTint="33"/>
                    <w:jc w:val="center"/>
                    <w:rPr>
                      <w:rFonts w:ascii="Arial" w:eastAsia="Times New Roman" w:hAnsi="Arial" w:cs="Arial"/>
                      <w:b/>
                      <w:bCs/>
                      <w:color w:val="666666"/>
                      <w:sz w:val="20"/>
                      <w:szCs w:val="20"/>
                    </w:rPr>
                  </w:pPr>
                  <w:r w:rsidRPr="00D05D33">
                    <w:rPr>
                      <w:rFonts w:ascii="Arial" w:eastAsia="Times New Roman" w:hAnsi="Arial" w:cs="Arial"/>
                      <w:b/>
                      <w:bCs/>
                      <w:color w:val="666666"/>
                      <w:sz w:val="20"/>
                      <w:szCs w:val="20"/>
                    </w:rPr>
                    <w:t>4,5</w:t>
                  </w:r>
                </w:p>
              </w:tc>
            </w:tr>
            <w:tr w:rsidR="00D05D33" w:rsidRPr="00D05D33" w:rsidTr="00D05D3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DE9D9" w:themeFill="accent6" w:themeFillTint="33"/>
                  <w:tcMar>
                    <w:top w:w="15" w:type="dxa"/>
                    <w:left w:w="15" w:type="dxa"/>
                    <w:bottom w:w="15" w:type="dxa"/>
                    <w:right w:w="15" w:type="dxa"/>
                  </w:tcMar>
                  <w:vAlign w:val="center"/>
                  <w:hideMark/>
                </w:tcPr>
                <w:p w:rsidR="00D05D33" w:rsidRPr="00D05D33" w:rsidRDefault="00D05D33" w:rsidP="00D05D33">
                  <w:pPr>
                    <w:shd w:val="clear" w:color="auto" w:fill="FDE9D9" w:themeFill="accent6" w:themeFillTint="33"/>
                    <w:jc w:val="center"/>
                    <w:rPr>
                      <w:rFonts w:ascii="Arial" w:eastAsia="Times New Roman" w:hAnsi="Arial" w:cs="Arial"/>
                      <w:b/>
                      <w:bCs/>
                      <w:color w:val="666666"/>
                      <w:sz w:val="20"/>
                      <w:szCs w:val="20"/>
                    </w:rPr>
                  </w:pPr>
                  <w:r w:rsidRPr="00D05D33">
                    <w:rPr>
                      <w:rFonts w:ascii="Arial" w:eastAsia="Times New Roman" w:hAnsi="Arial" w:cs="Arial"/>
                      <w:b/>
                      <w:bCs/>
                      <w:color w:val="666666"/>
                      <w:sz w:val="20"/>
                      <w:szCs w:val="20"/>
                    </w:rPr>
                    <w:lastRenderedPageBreak/>
                    <w:t>Índice del Costo de la Construcción Gran Bs. As.</w:t>
                  </w:r>
                </w:p>
              </w:tc>
              <w:tc>
                <w:tcPr>
                  <w:tcW w:w="0" w:type="auto"/>
                  <w:tcBorders>
                    <w:top w:val="outset" w:sz="6" w:space="0" w:color="auto"/>
                    <w:left w:val="outset" w:sz="6" w:space="0" w:color="auto"/>
                    <w:bottom w:val="outset" w:sz="6" w:space="0" w:color="auto"/>
                    <w:right w:val="outset" w:sz="6" w:space="0" w:color="auto"/>
                  </w:tcBorders>
                  <w:shd w:val="clear" w:color="auto" w:fill="FDE9D9" w:themeFill="accent6" w:themeFillTint="33"/>
                  <w:tcMar>
                    <w:top w:w="15" w:type="dxa"/>
                    <w:left w:w="15" w:type="dxa"/>
                    <w:bottom w:w="15" w:type="dxa"/>
                    <w:right w:w="15" w:type="dxa"/>
                  </w:tcMar>
                  <w:vAlign w:val="center"/>
                  <w:hideMark/>
                </w:tcPr>
                <w:p w:rsidR="00D05D33" w:rsidRPr="00D05D33" w:rsidRDefault="00D05D33" w:rsidP="00D05D33">
                  <w:pPr>
                    <w:shd w:val="clear" w:color="auto" w:fill="FDE9D9" w:themeFill="accent6" w:themeFillTint="33"/>
                    <w:jc w:val="center"/>
                    <w:rPr>
                      <w:rFonts w:ascii="Arial" w:eastAsia="Times New Roman" w:hAnsi="Arial" w:cs="Arial"/>
                      <w:b/>
                      <w:bCs/>
                      <w:color w:val="666666"/>
                      <w:sz w:val="20"/>
                      <w:szCs w:val="20"/>
                    </w:rPr>
                  </w:pPr>
                  <w:r w:rsidRPr="00D05D33">
                    <w:rPr>
                      <w:rFonts w:ascii="Arial" w:eastAsia="Times New Roman" w:hAnsi="Arial" w:cs="Arial"/>
                      <w:b/>
                      <w:bCs/>
                      <w:color w:val="666666"/>
                      <w:sz w:val="20"/>
                      <w:szCs w:val="20"/>
                    </w:rPr>
                    <w:t>2,4</w:t>
                  </w:r>
                </w:p>
              </w:tc>
            </w:tr>
            <w:tr w:rsidR="00D05D33" w:rsidRPr="00D05D33" w:rsidTr="00D05D3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DE9D9" w:themeFill="accent6" w:themeFillTint="33"/>
                  <w:tcMar>
                    <w:top w:w="15" w:type="dxa"/>
                    <w:left w:w="15" w:type="dxa"/>
                    <w:bottom w:w="15" w:type="dxa"/>
                    <w:right w:w="15" w:type="dxa"/>
                  </w:tcMar>
                  <w:vAlign w:val="center"/>
                  <w:hideMark/>
                </w:tcPr>
                <w:p w:rsidR="00D05D33" w:rsidRPr="00D05D33" w:rsidRDefault="00D05D33" w:rsidP="00D05D33">
                  <w:pPr>
                    <w:shd w:val="clear" w:color="auto" w:fill="FDE9D9" w:themeFill="accent6" w:themeFillTint="33"/>
                    <w:jc w:val="center"/>
                    <w:rPr>
                      <w:rFonts w:ascii="Arial" w:eastAsia="Times New Roman" w:hAnsi="Arial" w:cs="Arial"/>
                      <w:b/>
                      <w:bCs/>
                      <w:color w:val="666666"/>
                      <w:sz w:val="20"/>
                      <w:szCs w:val="20"/>
                    </w:rPr>
                  </w:pPr>
                  <w:r w:rsidRPr="00D05D33">
                    <w:rPr>
                      <w:rFonts w:ascii="Arial" w:eastAsia="Times New Roman" w:hAnsi="Arial" w:cs="Arial"/>
                      <w:b/>
                      <w:bCs/>
                      <w:color w:val="666666"/>
                      <w:sz w:val="20"/>
                      <w:szCs w:val="20"/>
                    </w:rPr>
                    <w:t>Índice de Precios al Consumidor (IPC)</w:t>
                  </w:r>
                </w:p>
              </w:tc>
              <w:tc>
                <w:tcPr>
                  <w:tcW w:w="0" w:type="auto"/>
                  <w:tcBorders>
                    <w:top w:val="outset" w:sz="6" w:space="0" w:color="auto"/>
                    <w:left w:val="outset" w:sz="6" w:space="0" w:color="auto"/>
                    <w:bottom w:val="outset" w:sz="6" w:space="0" w:color="auto"/>
                    <w:right w:val="outset" w:sz="6" w:space="0" w:color="auto"/>
                  </w:tcBorders>
                  <w:shd w:val="clear" w:color="auto" w:fill="FDE9D9" w:themeFill="accent6" w:themeFillTint="33"/>
                  <w:tcMar>
                    <w:top w:w="15" w:type="dxa"/>
                    <w:left w:w="15" w:type="dxa"/>
                    <w:bottom w:w="15" w:type="dxa"/>
                    <w:right w:w="15" w:type="dxa"/>
                  </w:tcMar>
                  <w:vAlign w:val="center"/>
                  <w:hideMark/>
                </w:tcPr>
                <w:p w:rsidR="00D05D33" w:rsidRPr="00D05D33" w:rsidRDefault="00D05D33" w:rsidP="00D05D33">
                  <w:pPr>
                    <w:shd w:val="clear" w:color="auto" w:fill="FDE9D9" w:themeFill="accent6" w:themeFillTint="33"/>
                    <w:jc w:val="center"/>
                    <w:rPr>
                      <w:rFonts w:ascii="Arial" w:eastAsia="Times New Roman" w:hAnsi="Arial" w:cs="Arial"/>
                      <w:b/>
                      <w:bCs/>
                      <w:color w:val="666666"/>
                      <w:sz w:val="20"/>
                      <w:szCs w:val="20"/>
                    </w:rPr>
                  </w:pPr>
                  <w:r w:rsidRPr="00D05D33">
                    <w:rPr>
                      <w:rFonts w:ascii="Arial" w:eastAsia="Times New Roman" w:hAnsi="Arial" w:cs="Arial"/>
                      <w:b/>
                      <w:bCs/>
                      <w:color w:val="666666"/>
                      <w:sz w:val="20"/>
                      <w:szCs w:val="20"/>
                    </w:rPr>
                    <w:t>5,9</w:t>
                  </w:r>
                </w:p>
              </w:tc>
            </w:tr>
          </w:tbl>
          <w:p w:rsidR="00D05D33" w:rsidRDefault="00D05D33" w:rsidP="00D05D33">
            <w:pPr>
              <w:shd w:val="clear" w:color="auto" w:fill="FDE9D9" w:themeFill="accent6" w:themeFillTint="33"/>
              <w:jc w:val="both"/>
              <w:rPr>
                <w:rFonts w:ascii="Arial" w:eastAsia="Times New Roman" w:hAnsi="Arial" w:cs="Arial"/>
                <w:color w:val="666666"/>
                <w:sz w:val="17"/>
                <w:szCs w:val="17"/>
              </w:rPr>
            </w:pPr>
            <w:r>
              <w:rPr>
                <w:rFonts w:ascii="Arial" w:eastAsia="Times New Roman" w:hAnsi="Arial" w:cs="Arial"/>
                <w:color w:val="666666"/>
                <w:sz w:val="20"/>
                <w:szCs w:val="20"/>
              </w:rPr>
              <w:br/>
            </w:r>
            <w:r>
              <w:rPr>
                <w:rFonts w:ascii="Arial" w:eastAsia="Times New Roman" w:hAnsi="Arial" w:cs="Arial"/>
                <w:color w:val="666666"/>
                <w:sz w:val="20"/>
                <w:szCs w:val="20"/>
              </w:rPr>
              <w:br/>
            </w:r>
            <w:r w:rsidRPr="00D05D33">
              <w:rPr>
                <w:rFonts w:ascii="Arial" w:eastAsia="Times New Roman" w:hAnsi="Arial" w:cs="Arial"/>
                <w:b/>
                <w:bCs/>
                <w:color w:val="666666"/>
                <w:sz w:val="20"/>
                <w:szCs w:val="20"/>
              </w:rPr>
              <w:t>(*) Dato provisorio</w:t>
            </w:r>
            <w:r>
              <w:rPr>
                <w:rFonts w:ascii="Arial" w:eastAsia="Times New Roman" w:hAnsi="Arial" w:cs="Arial"/>
                <w:color w:val="666666"/>
                <w:sz w:val="20"/>
                <w:szCs w:val="20"/>
              </w:rPr>
              <w:t xml:space="preserve"> </w:t>
            </w:r>
          </w:p>
        </w:tc>
      </w:tr>
    </w:tbl>
    <w:p w:rsidR="00A7476B" w:rsidRPr="00A7476B" w:rsidRDefault="00A7476B" w:rsidP="00D05D33">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sectPr w:rsidR="00A7476B" w:rsidRPr="00A7476B" w:rsidSect="002A1585">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362" w:rsidRDefault="00FE1362" w:rsidP="00A22916">
      <w:r>
        <w:separator/>
      </w:r>
    </w:p>
  </w:endnote>
  <w:endnote w:type="continuationSeparator" w:id="0">
    <w:p w:rsidR="00FE1362" w:rsidRDefault="00FE1362"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ira Sans">
    <w:altName w:val="Times New Roman"/>
    <w:panose1 w:val="00000000000000000000"/>
    <w:charset w:val="00"/>
    <w:family w:val="roman"/>
    <w:notTrueType/>
    <w:pitch w:val="default"/>
    <w:sig w:usb0="00000000" w:usb1="00000000" w:usb2="00000000" w:usb3="00000000" w:csb0="00000000" w:csb1="00000000"/>
  </w:font>
  <w:font w:name="Source Serif Pr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362" w:rsidRDefault="00FE1362"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D05D33" w:rsidRPr="00D05D33">
        <w:rPr>
          <w:rFonts w:asciiTheme="majorHAnsi" w:hAnsiTheme="majorHAnsi"/>
          <w:noProof/>
        </w:rPr>
        <w:t>4</w:t>
      </w:r>
    </w:fldSimple>
  </w:p>
  <w:p w:rsidR="00FE1362" w:rsidRDefault="00FE1362" w:rsidP="0063669F">
    <w:pPr>
      <w:pStyle w:val="Piedepgina"/>
    </w:pPr>
  </w:p>
  <w:p w:rsidR="00FE1362" w:rsidRDefault="00FE1362" w:rsidP="0063669F">
    <w:pPr>
      <w:pStyle w:val="Piedepgina"/>
    </w:pPr>
  </w:p>
  <w:p w:rsidR="00FE1362" w:rsidRDefault="00FE1362"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362" w:rsidRDefault="00FE1362" w:rsidP="00A22916">
      <w:r>
        <w:separator/>
      </w:r>
    </w:p>
  </w:footnote>
  <w:footnote w:type="continuationSeparator" w:id="0">
    <w:p w:rsidR="00FE1362" w:rsidRDefault="00FE1362"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362" w:rsidRDefault="00FE1362"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42-19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4">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4">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6"/>
  </w:num>
  <w:num w:numId="7">
    <w:abstractNumId w:val="24"/>
  </w:num>
  <w:num w:numId="8">
    <w:abstractNumId w:val="23"/>
  </w:num>
  <w:num w:numId="9">
    <w:abstractNumId w:val="13"/>
  </w:num>
  <w:num w:numId="10">
    <w:abstractNumId w:val="21"/>
  </w:num>
  <w:num w:numId="11">
    <w:abstractNumId w:val="12"/>
  </w:num>
  <w:num w:numId="12">
    <w:abstractNumId w:val="14"/>
  </w:num>
  <w:num w:numId="13">
    <w:abstractNumId w:val="15"/>
  </w:num>
  <w:num w:numId="14">
    <w:abstractNumId w:val="7"/>
  </w:num>
  <w:num w:numId="15">
    <w:abstractNumId w:val="9"/>
  </w:num>
  <w:num w:numId="16">
    <w:abstractNumId w:val="4"/>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9"/>
  </w:num>
  <w:num w:numId="20">
    <w:abstractNumId w:val="2"/>
  </w:num>
  <w:num w:numId="21">
    <w:abstractNumId w:val="6"/>
  </w:num>
  <w:num w:numId="22">
    <w:abstractNumId w:val="22"/>
  </w:num>
  <w:num w:numId="23">
    <w:abstractNumId w:val="3"/>
  </w:num>
  <w:num w:numId="24">
    <w:abstractNumId w:val="5"/>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B7B"/>
    <w:rsid w:val="00010986"/>
    <w:rsid w:val="00011E32"/>
    <w:rsid w:val="000141BB"/>
    <w:rsid w:val="0001798D"/>
    <w:rsid w:val="00020720"/>
    <w:rsid w:val="00024857"/>
    <w:rsid w:val="00024BA0"/>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87F90"/>
    <w:rsid w:val="000902D4"/>
    <w:rsid w:val="00091AF1"/>
    <w:rsid w:val="000938D2"/>
    <w:rsid w:val="00093DD6"/>
    <w:rsid w:val="000A444A"/>
    <w:rsid w:val="000A498D"/>
    <w:rsid w:val="000B1065"/>
    <w:rsid w:val="000B25E4"/>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18AA"/>
    <w:rsid w:val="00195BB4"/>
    <w:rsid w:val="0019731C"/>
    <w:rsid w:val="001A31B7"/>
    <w:rsid w:val="001A4644"/>
    <w:rsid w:val="001A5BCA"/>
    <w:rsid w:val="001B127D"/>
    <w:rsid w:val="001B1392"/>
    <w:rsid w:val="001B1B26"/>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14CE"/>
    <w:rsid w:val="00251B56"/>
    <w:rsid w:val="002551A7"/>
    <w:rsid w:val="00257FF4"/>
    <w:rsid w:val="002623BD"/>
    <w:rsid w:val="002624C4"/>
    <w:rsid w:val="0026302D"/>
    <w:rsid w:val="002638FA"/>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1FF7"/>
    <w:rsid w:val="002B2A40"/>
    <w:rsid w:val="002B3E46"/>
    <w:rsid w:val="002B5F87"/>
    <w:rsid w:val="002C01BA"/>
    <w:rsid w:val="002C2500"/>
    <w:rsid w:val="002C3ED4"/>
    <w:rsid w:val="002C5F80"/>
    <w:rsid w:val="002D15E2"/>
    <w:rsid w:val="002D1AF7"/>
    <w:rsid w:val="002D2CE9"/>
    <w:rsid w:val="002D5824"/>
    <w:rsid w:val="002D6A6D"/>
    <w:rsid w:val="002D7BF7"/>
    <w:rsid w:val="002D7C89"/>
    <w:rsid w:val="002D7DD8"/>
    <w:rsid w:val="002E03B4"/>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2475"/>
    <w:rsid w:val="00351287"/>
    <w:rsid w:val="00354827"/>
    <w:rsid w:val="00354D8B"/>
    <w:rsid w:val="00356793"/>
    <w:rsid w:val="00356AE3"/>
    <w:rsid w:val="00363D85"/>
    <w:rsid w:val="00366324"/>
    <w:rsid w:val="003669E8"/>
    <w:rsid w:val="0037064F"/>
    <w:rsid w:val="00371368"/>
    <w:rsid w:val="00373FA9"/>
    <w:rsid w:val="00383AD6"/>
    <w:rsid w:val="00383E0A"/>
    <w:rsid w:val="00384AD2"/>
    <w:rsid w:val="00387F1F"/>
    <w:rsid w:val="003A0047"/>
    <w:rsid w:val="003A1FE2"/>
    <w:rsid w:val="003A2813"/>
    <w:rsid w:val="003A570E"/>
    <w:rsid w:val="003A7B3C"/>
    <w:rsid w:val="003B2804"/>
    <w:rsid w:val="003B3D0A"/>
    <w:rsid w:val="003B674E"/>
    <w:rsid w:val="003B7810"/>
    <w:rsid w:val="003C0DB9"/>
    <w:rsid w:val="003D0EDE"/>
    <w:rsid w:val="003D1833"/>
    <w:rsid w:val="003D7987"/>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1A4"/>
    <w:rsid w:val="00424B12"/>
    <w:rsid w:val="0042600F"/>
    <w:rsid w:val="004267D1"/>
    <w:rsid w:val="00426D05"/>
    <w:rsid w:val="00430834"/>
    <w:rsid w:val="00430CD3"/>
    <w:rsid w:val="00435CE1"/>
    <w:rsid w:val="00437F8F"/>
    <w:rsid w:val="004407D1"/>
    <w:rsid w:val="00443CD0"/>
    <w:rsid w:val="004503E0"/>
    <w:rsid w:val="00450B7D"/>
    <w:rsid w:val="00455005"/>
    <w:rsid w:val="00455EBD"/>
    <w:rsid w:val="004569CE"/>
    <w:rsid w:val="00456DA9"/>
    <w:rsid w:val="00461716"/>
    <w:rsid w:val="00462760"/>
    <w:rsid w:val="0047057E"/>
    <w:rsid w:val="004712E3"/>
    <w:rsid w:val="0047344F"/>
    <w:rsid w:val="0047412D"/>
    <w:rsid w:val="004760AD"/>
    <w:rsid w:val="00477975"/>
    <w:rsid w:val="00483559"/>
    <w:rsid w:val="00483F29"/>
    <w:rsid w:val="00484F8D"/>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C725D"/>
    <w:rsid w:val="004D144A"/>
    <w:rsid w:val="004D1D0A"/>
    <w:rsid w:val="004D2218"/>
    <w:rsid w:val="004D3372"/>
    <w:rsid w:val="004D4BFE"/>
    <w:rsid w:val="004D5A93"/>
    <w:rsid w:val="004D7E15"/>
    <w:rsid w:val="004E007C"/>
    <w:rsid w:val="004E11B3"/>
    <w:rsid w:val="004E1502"/>
    <w:rsid w:val="004E150F"/>
    <w:rsid w:val="004E2070"/>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16F1"/>
    <w:rsid w:val="00552D41"/>
    <w:rsid w:val="005533E7"/>
    <w:rsid w:val="00557631"/>
    <w:rsid w:val="005578BC"/>
    <w:rsid w:val="005616AD"/>
    <w:rsid w:val="005616C9"/>
    <w:rsid w:val="00561E9D"/>
    <w:rsid w:val="00567FFD"/>
    <w:rsid w:val="0057177B"/>
    <w:rsid w:val="0057178D"/>
    <w:rsid w:val="0058111C"/>
    <w:rsid w:val="005816C7"/>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53E7"/>
    <w:rsid w:val="006174A8"/>
    <w:rsid w:val="0061788D"/>
    <w:rsid w:val="00622351"/>
    <w:rsid w:val="006234AE"/>
    <w:rsid w:val="0062655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1EFB"/>
    <w:rsid w:val="006C306C"/>
    <w:rsid w:val="006C66B7"/>
    <w:rsid w:val="006D1AF4"/>
    <w:rsid w:val="006D716F"/>
    <w:rsid w:val="006E5CD5"/>
    <w:rsid w:val="006E75AB"/>
    <w:rsid w:val="006E79DC"/>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6B72"/>
    <w:rsid w:val="0074014A"/>
    <w:rsid w:val="00742655"/>
    <w:rsid w:val="00745098"/>
    <w:rsid w:val="0074517C"/>
    <w:rsid w:val="00745FFC"/>
    <w:rsid w:val="007463A3"/>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22DF"/>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910"/>
    <w:rsid w:val="007F4195"/>
    <w:rsid w:val="007F74B0"/>
    <w:rsid w:val="00801B11"/>
    <w:rsid w:val="008035FD"/>
    <w:rsid w:val="008051D9"/>
    <w:rsid w:val="008057A5"/>
    <w:rsid w:val="00807984"/>
    <w:rsid w:val="00807F0C"/>
    <w:rsid w:val="0081031F"/>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764F"/>
    <w:rsid w:val="00890DB8"/>
    <w:rsid w:val="00894C64"/>
    <w:rsid w:val="0089551F"/>
    <w:rsid w:val="00897BE8"/>
    <w:rsid w:val="008A40E4"/>
    <w:rsid w:val="008A4816"/>
    <w:rsid w:val="008B03B5"/>
    <w:rsid w:val="008B169F"/>
    <w:rsid w:val="008B173D"/>
    <w:rsid w:val="008B48AF"/>
    <w:rsid w:val="008B4F6A"/>
    <w:rsid w:val="008B6E61"/>
    <w:rsid w:val="008C04BC"/>
    <w:rsid w:val="008C1537"/>
    <w:rsid w:val="008C19D9"/>
    <w:rsid w:val="008C33A4"/>
    <w:rsid w:val="008C6A53"/>
    <w:rsid w:val="008C7B0A"/>
    <w:rsid w:val="008D06FE"/>
    <w:rsid w:val="008D1DA1"/>
    <w:rsid w:val="008D2886"/>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3583"/>
    <w:rsid w:val="00954837"/>
    <w:rsid w:val="00955F3D"/>
    <w:rsid w:val="00957658"/>
    <w:rsid w:val="009621A7"/>
    <w:rsid w:val="00962DCF"/>
    <w:rsid w:val="00963D50"/>
    <w:rsid w:val="00964163"/>
    <w:rsid w:val="009641E3"/>
    <w:rsid w:val="0096547D"/>
    <w:rsid w:val="00970515"/>
    <w:rsid w:val="009731AD"/>
    <w:rsid w:val="009756D4"/>
    <w:rsid w:val="00975EA7"/>
    <w:rsid w:val="00982F05"/>
    <w:rsid w:val="00983382"/>
    <w:rsid w:val="00983817"/>
    <w:rsid w:val="00984EA5"/>
    <w:rsid w:val="00987CFA"/>
    <w:rsid w:val="0099160E"/>
    <w:rsid w:val="0099766E"/>
    <w:rsid w:val="009A5003"/>
    <w:rsid w:val="009A513D"/>
    <w:rsid w:val="009B1798"/>
    <w:rsid w:val="009B23B8"/>
    <w:rsid w:val="009B38E7"/>
    <w:rsid w:val="009B5379"/>
    <w:rsid w:val="009B5884"/>
    <w:rsid w:val="009C1F29"/>
    <w:rsid w:val="009C49CB"/>
    <w:rsid w:val="009D2066"/>
    <w:rsid w:val="009D44D5"/>
    <w:rsid w:val="009D4CBF"/>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35DA"/>
    <w:rsid w:val="00A66110"/>
    <w:rsid w:val="00A661EA"/>
    <w:rsid w:val="00A70AD1"/>
    <w:rsid w:val="00A72227"/>
    <w:rsid w:val="00A7476B"/>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C72AF"/>
    <w:rsid w:val="00BD1199"/>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063FC"/>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E050C"/>
    <w:rsid w:val="00CE0F03"/>
    <w:rsid w:val="00CE1B5C"/>
    <w:rsid w:val="00CE2963"/>
    <w:rsid w:val="00CE400C"/>
    <w:rsid w:val="00CE478D"/>
    <w:rsid w:val="00CE6FC5"/>
    <w:rsid w:val="00CE7E51"/>
    <w:rsid w:val="00CF02BA"/>
    <w:rsid w:val="00D00832"/>
    <w:rsid w:val="00D02745"/>
    <w:rsid w:val="00D03A65"/>
    <w:rsid w:val="00D05D33"/>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1BB"/>
    <w:rsid w:val="00D95910"/>
    <w:rsid w:val="00D978A4"/>
    <w:rsid w:val="00DA34B5"/>
    <w:rsid w:val="00DA4170"/>
    <w:rsid w:val="00DB374E"/>
    <w:rsid w:val="00DB3E82"/>
    <w:rsid w:val="00DB4EAF"/>
    <w:rsid w:val="00DB5C26"/>
    <w:rsid w:val="00DB660E"/>
    <w:rsid w:val="00DB7AEE"/>
    <w:rsid w:val="00DC01EF"/>
    <w:rsid w:val="00DC11B0"/>
    <w:rsid w:val="00DC197E"/>
    <w:rsid w:val="00DC3958"/>
    <w:rsid w:val="00DC5162"/>
    <w:rsid w:val="00DC67E6"/>
    <w:rsid w:val="00DC697C"/>
    <w:rsid w:val="00DC76A1"/>
    <w:rsid w:val="00DD4EB3"/>
    <w:rsid w:val="00DD71F0"/>
    <w:rsid w:val="00DE0214"/>
    <w:rsid w:val="00DE070E"/>
    <w:rsid w:val="00DE7EA5"/>
    <w:rsid w:val="00DF159C"/>
    <w:rsid w:val="00DF2655"/>
    <w:rsid w:val="00DF286B"/>
    <w:rsid w:val="00DF3632"/>
    <w:rsid w:val="00DF3BFD"/>
    <w:rsid w:val="00DF3C86"/>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3A6"/>
    <w:rsid w:val="00E50433"/>
    <w:rsid w:val="00E52026"/>
    <w:rsid w:val="00E554AC"/>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82E"/>
    <w:rsid w:val="00EA6378"/>
    <w:rsid w:val="00EA770C"/>
    <w:rsid w:val="00EB166D"/>
    <w:rsid w:val="00EB4775"/>
    <w:rsid w:val="00EB53F9"/>
    <w:rsid w:val="00EB5F3E"/>
    <w:rsid w:val="00ED044B"/>
    <w:rsid w:val="00ED189B"/>
    <w:rsid w:val="00ED4588"/>
    <w:rsid w:val="00ED4841"/>
    <w:rsid w:val="00ED64C2"/>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00D0"/>
    <w:rsid w:val="00F53620"/>
    <w:rsid w:val="00F542F5"/>
    <w:rsid w:val="00F54A5E"/>
    <w:rsid w:val="00F55D28"/>
    <w:rsid w:val="00F56404"/>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6DB7"/>
    <w:rsid w:val="00FD73A0"/>
    <w:rsid w:val="00FD769B"/>
    <w:rsid w:val="00FE1362"/>
    <w:rsid w:val="00FE169F"/>
    <w:rsid w:val="00FE527E"/>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FD421-95EF-4F90-BE47-33DC585A8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796</Words>
  <Characters>4382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3</cp:revision>
  <dcterms:created xsi:type="dcterms:W3CDTF">2019-10-18T20:59:00Z</dcterms:created>
  <dcterms:modified xsi:type="dcterms:W3CDTF">2019-10-18T21:23:00Z</dcterms:modified>
</cp:coreProperties>
</file>